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44628" w14:textId="6E22CC82" w:rsidR="00084AEB" w:rsidRPr="00A814FC" w:rsidRDefault="00AC298A" w:rsidP="00B31AA5">
      <w:pPr>
        <w:pStyle w:val="BodyText"/>
        <w:spacing w:line="360" w:lineRule="auto"/>
        <w:rPr>
          <w:rFonts w:ascii="Poppins" w:hAnsi="Poppins" w:cs="Poppins"/>
          <w:sz w:val="20"/>
        </w:rPr>
      </w:pPr>
      <w:r w:rsidRPr="00A814FC">
        <w:rPr>
          <w:rFonts w:ascii="Poppins" w:hAnsi="Poppins" w:cs="Poppins"/>
          <w:noProof/>
          <w:sz w:val="22"/>
          <w:szCs w:val="22"/>
          <w:lang w:val="en-US"/>
        </w:rPr>
        <w:drawing>
          <wp:inline distT="0" distB="0" distL="0" distR="0" wp14:anchorId="480C7F9A" wp14:editId="228811D6">
            <wp:extent cx="5731510" cy="790575"/>
            <wp:effectExtent l="0" t="0" r="2540" b="9525"/>
            <wp:docPr id="2" name="Picture 2" descr="C:\Users\ARENE\Desktop\Pelouro AET\Logo\A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ARENE\Desktop\Pelouro AET\Logo\AET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4744E" w14:textId="77777777" w:rsidR="00084AEB" w:rsidRPr="00A814FC" w:rsidRDefault="00084AEB" w:rsidP="00B31AA5">
      <w:pPr>
        <w:pStyle w:val="BodyText"/>
        <w:spacing w:before="1" w:line="360" w:lineRule="auto"/>
        <w:rPr>
          <w:rFonts w:ascii="Poppins" w:hAnsi="Poppins" w:cs="Poppins"/>
          <w:sz w:val="13"/>
        </w:rPr>
      </w:pPr>
    </w:p>
    <w:p w14:paraId="2A7E8CE9" w14:textId="5F40463E" w:rsidR="00084AEB" w:rsidRPr="00A814FC" w:rsidRDefault="00084AEB" w:rsidP="00B31AA5">
      <w:pPr>
        <w:pStyle w:val="BodyText"/>
        <w:spacing w:line="360" w:lineRule="auto"/>
        <w:ind w:left="404"/>
        <w:rPr>
          <w:rFonts w:ascii="Poppins" w:hAnsi="Poppins" w:cs="Poppins"/>
          <w:sz w:val="20"/>
        </w:rPr>
      </w:pPr>
    </w:p>
    <w:p w14:paraId="1575B074" w14:textId="77777777" w:rsidR="00084AEB" w:rsidRPr="00A814FC" w:rsidRDefault="00084AEB" w:rsidP="00B31AA5">
      <w:pPr>
        <w:pStyle w:val="BodyText"/>
        <w:spacing w:line="360" w:lineRule="auto"/>
        <w:rPr>
          <w:rFonts w:ascii="Poppins" w:hAnsi="Poppins" w:cs="Poppins"/>
          <w:sz w:val="20"/>
        </w:rPr>
      </w:pPr>
    </w:p>
    <w:p w14:paraId="1D106210" w14:textId="77777777" w:rsidR="00084AEB" w:rsidRPr="00A814FC" w:rsidRDefault="00084AEB" w:rsidP="00B31AA5">
      <w:pPr>
        <w:pStyle w:val="BodyText"/>
        <w:spacing w:before="4" w:line="360" w:lineRule="auto"/>
        <w:rPr>
          <w:rFonts w:ascii="Poppins" w:hAnsi="Poppins" w:cs="Poppins"/>
          <w:sz w:val="20"/>
        </w:rPr>
      </w:pPr>
    </w:p>
    <w:p w14:paraId="188EC8CC" w14:textId="4B3CE72C" w:rsidR="00084AEB" w:rsidRPr="00A814FC" w:rsidRDefault="00000000" w:rsidP="00B31AA5">
      <w:pPr>
        <w:pStyle w:val="Title"/>
        <w:shd w:val="clear" w:color="auto" w:fill="FFFFFF" w:themeFill="background1"/>
        <w:spacing w:line="360" w:lineRule="auto"/>
        <w:ind w:right="92"/>
        <w:rPr>
          <w:rFonts w:ascii="Poppins" w:hAnsi="Poppins" w:cs="Poppins"/>
          <w:sz w:val="72"/>
          <w:szCs w:val="72"/>
        </w:rPr>
      </w:pPr>
      <w:r w:rsidRPr="00790A04">
        <w:rPr>
          <w:rFonts w:ascii="Poppins" w:hAnsi="Poppins" w:cs="Poppins"/>
          <w:color w:val="003973"/>
          <w:sz w:val="72"/>
          <w:szCs w:val="72"/>
        </w:rPr>
        <w:t xml:space="preserve">Evolução </w:t>
      </w:r>
      <w:proofErr w:type="gramStart"/>
      <w:r w:rsidRPr="00790A04">
        <w:rPr>
          <w:rFonts w:ascii="Poppins" w:hAnsi="Poppins" w:cs="Poppins"/>
          <w:color w:val="003973"/>
          <w:sz w:val="72"/>
          <w:szCs w:val="72"/>
        </w:rPr>
        <w:t>dos</w:t>
      </w:r>
      <w:r w:rsidR="00AC298A" w:rsidRPr="00790A04">
        <w:rPr>
          <w:rFonts w:ascii="Poppins" w:hAnsi="Poppins" w:cs="Poppins"/>
          <w:color w:val="003973"/>
          <w:sz w:val="72"/>
          <w:szCs w:val="72"/>
        </w:rPr>
        <w:t xml:space="preserve"> </w:t>
      </w:r>
      <w:r w:rsidRPr="00790A04">
        <w:rPr>
          <w:rFonts w:ascii="Poppins" w:hAnsi="Poppins" w:cs="Poppins"/>
          <w:color w:val="003973"/>
          <w:spacing w:val="-239"/>
          <w:sz w:val="72"/>
          <w:szCs w:val="72"/>
        </w:rPr>
        <w:t xml:space="preserve"> </w:t>
      </w:r>
      <w:r w:rsidRPr="00790A04">
        <w:rPr>
          <w:rFonts w:ascii="Poppins" w:hAnsi="Poppins" w:cs="Poppins"/>
          <w:color w:val="003973"/>
          <w:sz w:val="72"/>
          <w:szCs w:val="72"/>
        </w:rPr>
        <w:t>Preços</w:t>
      </w:r>
      <w:proofErr w:type="gramEnd"/>
      <w:r w:rsidRPr="00790A04">
        <w:rPr>
          <w:rFonts w:ascii="Poppins" w:hAnsi="Poppins" w:cs="Poppins"/>
          <w:color w:val="003973"/>
          <w:sz w:val="72"/>
          <w:szCs w:val="72"/>
        </w:rPr>
        <w:t xml:space="preserve"> </w:t>
      </w:r>
      <w:r w:rsidR="00AC298A" w:rsidRPr="00790A04">
        <w:rPr>
          <w:rFonts w:ascii="Poppins" w:hAnsi="Poppins" w:cs="Poppins"/>
          <w:color w:val="003973"/>
          <w:sz w:val="72"/>
          <w:szCs w:val="72"/>
        </w:rPr>
        <w:t xml:space="preserve">dos Produtos Petrolíferos – </w:t>
      </w:r>
      <w:r w:rsidR="00B370EC" w:rsidRPr="00790A04">
        <w:rPr>
          <w:rFonts w:ascii="Poppins" w:hAnsi="Poppins" w:cs="Poppins"/>
          <w:color w:val="003973"/>
          <w:sz w:val="72"/>
          <w:szCs w:val="72"/>
        </w:rPr>
        <w:t>25</w:t>
      </w:r>
      <w:r w:rsidR="00CC0FC9" w:rsidRPr="00790A04">
        <w:rPr>
          <w:rFonts w:ascii="Poppins" w:hAnsi="Poppins" w:cs="Poppins"/>
          <w:color w:val="003973"/>
          <w:sz w:val="72"/>
          <w:szCs w:val="72"/>
        </w:rPr>
        <w:t xml:space="preserve"> 03 2023 a </w:t>
      </w:r>
      <w:r w:rsidR="00B370EC" w:rsidRPr="00790A04">
        <w:rPr>
          <w:rFonts w:ascii="Poppins" w:hAnsi="Poppins" w:cs="Poppins"/>
          <w:color w:val="003973"/>
          <w:sz w:val="72"/>
          <w:szCs w:val="72"/>
        </w:rPr>
        <w:t>07</w:t>
      </w:r>
      <w:r w:rsidR="00CC0FC9" w:rsidRPr="00790A04">
        <w:rPr>
          <w:rFonts w:ascii="Poppins" w:hAnsi="Poppins" w:cs="Poppins"/>
          <w:color w:val="003973"/>
          <w:sz w:val="72"/>
          <w:szCs w:val="72"/>
        </w:rPr>
        <w:t xml:space="preserve"> 0</w:t>
      </w:r>
      <w:r w:rsidR="00B370EC" w:rsidRPr="00790A04">
        <w:rPr>
          <w:rFonts w:ascii="Poppins" w:hAnsi="Poppins" w:cs="Poppins"/>
          <w:color w:val="003973"/>
          <w:sz w:val="72"/>
          <w:szCs w:val="72"/>
        </w:rPr>
        <w:t>4</w:t>
      </w:r>
      <w:r w:rsidR="00CC0FC9" w:rsidRPr="00790A04">
        <w:rPr>
          <w:rFonts w:ascii="Poppins" w:hAnsi="Poppins" w:cs="Poppins"/>
          <w:color w:val="003973"/>
          <w:sz w:val="72"/>
          <w:szCs w:val="72"/>
        </w:rPr>
        <w:t xml:space="preserve"> 2023</w:t>
      </w:r>
    </w:p>
    <w:p w14:paraId="0388E705" w14:textId="77777777" w:rsidR="00084AEB" w:rsidRPr="00A814FC" w:rsidRDefault="00084AEB" w:rsidP="00B31AA5">
      <w:pPr>
        <w:pStyle w:val="BodyText"/>
        <w:spacing w:line="360" w:lineRule="auto"/>
        <w:rPr>
          <w:rFonts w:ascii="Poppins" w:hAnsi="Poppins" w:cs="Poppins"/>
          <w:b/>
          <w:sz w:val="20"/>
        </w:rPr>
      </w:pPr>
    </w:p>
    <w:p w14:paraId="36134AA9" w14:textId="77777777" w:rsidR="00084AEB" w:rsidRPr="00A814FC" w:rsidRDefault="00084AEB" w:rsidP="00B31AA5">
      <w:pPr>
        <w:pStyle w:val="BodyText"/>
        <w:spacing w:line="360" w:lineRule="auto"/>
        <w:rPr>
          <w:rFonts w:ascii="Poppins" w:hAnsi="Poppins" w:cs="Poppins"/>
          <w:b/>
          <w:sz w:val="20"/>
        </w:rPr>
      </w:pPr>
    </w:p>
    <w:p w14:paraId="1D2416CE" w14:textId="77777777" w:rsidR="00084AEB" w:rsidRPr="00A814FC" w:rsidRDefault="00084AEB" w:rsidP="00B31AA5">
      <w:pPr>
        <w:pStyle w:val="BodyText"/>
        <w:spacing w:line="360" w:lineRule="auto"/>
        <w:rPr>
          <w:rFonts w:ascii="Poppins" w:hAnsi="Poppins" w:cs="Poppins"/>
          <w:b/>
          <w:sz w:val="20"/>
        </w:rPr>
      </w:pPr>
    </w:p>
    <w:p w14:paraId="0C8B9569" w14:textId="77777777" w:rsidR="00084AEB" w:rsidRPr="00A814FC" w:rsidRDefault="00084AEB" w:rsidP="00B31AA5">
      <w:pPr>
        <w:pStyle w:val="BodyText"/>
        <w:spacing w:line="360" w:lineRule="auto"/>
        <w:rPr>
          <w:rFonts w:ascii="Poppins" w:hAnsi="Poppins" w:cs="Poppins"/>
          <w:b/>
          <w:sz w:val="20"/>
        </w:rPr>
      </w:pPr>
    </w:p>
    <w:p w14:paraId="61EF95F0" w14:textId="77777777" w:rsidR="00084AEB" w:rsidRPr="00A814FC" w:rsidRDefault="00084AEB" w:rsidP="00B31AA5">
      <w:pPr>
        <w:pStyle w:val="BodyText"/>
        <w:spacing w:line="360" w:lineRule="auto"/>
        <w:rPr>
          <w:rFonts w:ascii="Poppins" w:hAnsi="Poppins" w:cs="Poppins"/>
          <w:b/>
          <w:sz w:val="20"/>
        </w:rPr>
      </w:pPr>
    </w:p>
    <w:p w14:paraId="3F580C40" w14:textId="77777777" w:rsidR="00084AEB" w:rsidRPr="00A814FC" w:rsidRDefault="00084AEB" w:rsidP="00B31AA5">
      <w:pPr>
        <w:pStyle w:val="BodyText"/>
        <w:spacing w:before="8" w:line="360" w:lineRule="auto"/>
        <w:rPr>
          <w:rFonts w:ascii="Poppins" w:hAnsi="Poppins" w:cs="Poppins"/>
          <w:b/>
        </w:rPr>
      </w:pPr>
    </w:p>
    <w:p w14:paraId="2FDADAF4" w14:textId="378804EE" w:rsidR="00084AEB" w:rsidRPr="00903D6C" w:rsidRDefault="00AC298A" w:rsidP="00B31AA5">
      <w:pPr>
        <w:pStyle w:val="Heading2"/>
        <w:spacing w:line="360" w:lineRule="auto"/>
        <w:rPr>
          <w:rFonts w:ascii="Poppins" w:hAnsi="Poppins" w:cs="Poppins"/>
          <w:sz w:val="24"/>
          <w:szCs w:val="24"/>
        </w:rPr>
      </w:pPr>
      <w:r w:rsidRPr="00903D6C">
        <w:rPr>
          <w:rFonts w:ascii="Poppins" w:hAnsi="Poppins" w:cs="Poppins"/>
          <w:sz w:val="28"/>
          <w:szCs w:val="24"/>
        </w:rPr>
        <w:t xml:space="preserve">Maputo, </w:t>
      </w:r>
      <w:r w:rsidR="00B370EC">
        <w:rPr>
          <w:rFonts w:ascii="Poppins" w:hAnsi="Poppins" w:cs="Poppins"/>
          <w:sz w:val="28"/>
          <w:szCs w:val="24"/>
        </w:rPr>
        <w:t xml:space="preserve">10 de </w:t>
      </w:r>
      <w:proofErr w:type="gramStart"/>
      <w:r w:rsidR="00B370EC">
        <w:rPr>
          <w:rFonts w:ascii="Poppins" w:hAnsi="Poppins" w:cs="Poppins"/>
          <w:sz w:val="28"/>
          <w:szCs w:val="24"/>
        </w:rPr>
        <w:t>Abril</w:t>
      </w:r>
      <w:proofErr w:type="gramEnd"/>
      <w:r w:rsidRPr="00903D6C">
        <w:rPr>
          <w:rFonts w:ascii="Poppins" w:hAnsi="Poppins" w:cs="Poppins"/>
          <w:sz w:val="28"/>
          <w:szCs w:val="24"/>
        </w:rPr>
        <w:t xml:space="preserve"> de 2023</w:t>
      </w:r>
    </w:p>
    <w:p w14:paraId="7C51F1C8" w14:textId="77777777" w:rsidR="00084AEB" w:rsidRDefault="00084AEB" w:rsidP="00B31AA5">
      <w:pPr>
        <w:spacing w:line="360" w:lineRule="auto"/>
        <w:rPr>
          <w:rFonts w:ascii="Poppins" w:hAnsi="Poppins" w:cs="Poppins"/>
        </w:rPr>
      </w:pPr>
    </w:p>
    <w:p w14:paraId="44F9D960" w14:textId="77777777" w:rsidR="00CC0FC9" w:rsidRDefault="00CC0FC9" w:rsidP="00B31AA5">
      <w:pPr>
        <w:spacing w:line="360" w:lineRule="auto"/>
        <w:rPr>
          <w:rFonts w:ascii="Poppins" w:hAnsi="Poppins" w:cs="Poppins"/>
        </w:rPr>
      </w:pPr>
    </w:p>
    <w:p w14:paraId="7A0E8519" w14:textId="08BD3F18" w:rsidR="00CC0FC9" w:rsidRPr="00A814FC" w:rsidRDefault="00CC0FC9" w:rsidP="00B31AA5">
      <w:pPr>
        <w:spacing w:line="360" w:lineRule="auto"/>
        <w:rPr>
          <w:rFonts w:ascii="Poppins" w:hAnsi="Poppins" w:cs="Poppins"/>
        </w:rPr>
        <w:sectPr w:rsidR="00CC0FC9" w:rsidRPr="00A814FC">
          <w:type w:val="continuous"/>
          <w:pgSz w:w="11910" w:h="16840"/>
          <w:pgMar w:top="1580" w:right="1020" w:bottom="280" w:left="1300" w:header="720" w:footer="720" w:gutter="0"/>
          <w:cols w:space="720"/>
        </w:sectPr>
      </w:pPr>
    </w:p>
    <w:p w14:paraId="659EBE60" w14:textId="7172768C" w:rsidR="00084AEB" w:rsidRPr="00A814FC" w:rsidRDefault="00000000" w:rsidP="00B31AA5">
      <w:pPr>
        <w:pStyle w:val="Heading1"/>
        <w:numPr>
          <w:ilvl w:val="0"/>
          <w:numId w:val="1"/>
        </w:numPr>
        <w:tabs>
          <w:tab w:val="left" w:pos="347"/>
        </w:tabs>
        <w:spacing w:before="125" w:line="360" w:lineRule="auto"/>
        <w:ind w:right="4628" w:hanging="347"/>
        <w:rPr>
          <w:rFonts w:ascii="Poppins" w:hAnsi="Poppins" w:cs="Poppins"/>
        </w:rPr>
      </w:pPr>
      <w:bookmarkStart w:id="0" w:name="_bookmark0"/>
      <w:bookmarkEnd w:id="0"/>
      <w:r w:rsidRPr="00A814FC">
        <w:rPr>
          <w:rFonts w:ascii="Poppins" w:hAnsi="Poppins" w:cs="Poppins"/>
        </w:rPr>
        <w:lastRenderedPageBreak/>
        <w:t>Evolução</w:t>
      </w:r>
      <w:r w:rsidRPr="00A814FC">
        <w:rPr>
          <w:rFonts w:ascii="Poppins" w:hAnsi="Poppins" w:cs="Poppins"/>
          <w:spacing w:val="-5"/>
        </w:rPr>
        <w:t xml:space="preserve"> </w:t>
      </w:r>
      <w:r w:rsidRPr="00A814FC">
        <w:rPr>
          <w:rFonts w:ascii="Poppins" w:hAnsi="Poppins" w:cs="Poppins"/>
        </w:rPr>
        <w:t>do</w:t>
      </w:r>
      <w:r w:rsidRPr="00A814FC">
        <w:rPr>
          <w:rFonts w:ascii="Poppins" w:hAnsi="Poppins" w:cs="Poppins"/>
          <w:spacing w:val="-4"/>
        </w:rPr>
        <w:t xml:space="preserve"> </w:t>
      </w:r>
      <w:r w:rsidRPr="00A814FC">
        <w:rPr>
          <w:rFonts w:ascii="Poppins" w:hAnsi="Poppins" w:cs="Poppins"/>
        </w:rPr>
        <w:t>preço</w:t>
      </w:r>
      <w:r w:rsidRPr="00A814FC">
        <w:rPr>
          <w:rFonts w:ascii="Poppins" w:hAnsi="Poppins" w:cs="Poppins"/>
          <w:spacing w:val="-2"/>
        </w:rPr>
        <w:t xml:space="preserve"> </w:t>
      </w:r>
      <w:r w:rsidRPr="00A814FC">
        <w:rPr>
          <w:rFonts w:ascii="Poppins" w:hAnsi="Poppins" w:cs="Poppins"/>
        </w:rPr>
        <w:t>do</w:t>
      </w:r>
      <w:r w:rsidRPr="00A814FC">
        <w:rPr>
          <w:rFonts w:ascii="Poppins" w:hAnsi="Poppins" w:cs="Poppins"/>
          <w:spacing w:val="-1"/>
        </w:rPr>
        <w:t xml:space="preserve"> </w:t>
      </w:r>
      <w:r w:rsidRPr="00A814FC">
        <w:rPr>
          <w:rFonts w:ascii="Poppins" w:hAnsi="Poppins" w:cs="Poppins"/>
        </w:rPr>
        <w:t>Brent</w:t>
      </w:r>
      <w:r w:rsidR="00FB5A04">
        <w:rPr>
          <w:rStyle w:val="FootnoteReference"/>
          <w:rFonts w:ascii="Poppins" w:hAnsi="Poppins" w:cs="Poppins"/>
        </w:rPr>
        <w:footnoteReference w:id="1"/>
      </w:r>
    </w:p>
    <w:p w14:paraId="2DD93C90" w14:textId="2D6CAA35" w:rsidR="00AC298A" w:rsidRPr="009F5D3B" w:rsidRDefault="00AC298A" w:rsidP="00B31AA5">
      <w:pPr>
        <w:spacing w:line="360" w:lineRule="auto"/>
        <w:rPr>
          <w:rFonts w:ascii="Poppins" w:hAnsi="Poppins" w:cs="Poppins"/>
          <w:sz w:val="2"/>
          <w:szCs w:val="2"/>
        </w:rPr>
      </w:pPr>
    </w:p>
    <w:p w14:paraId="57DBC986" w14:textId="0809DD12" w:rsidR="000D4DD0" w:rsidRPr="00CC0FC9" w:rsidRDefault="000D4DD0" w:rsidP="00B31AA5">
      <w:pPr>
        <w:pStyle w:val="ListParagraph"/>
        <w:numPr>
          <w:ilvl w:val="0"/>
          <w:numId w:val="9"/>
        </w:numPr>
        <w:shd w:val="clear" w:color="auto" w:fill="FFFFFF" w:themeFill="background1"/>
        <w:spacing w:line="360" w:lineRule="auto"/>
        <w:rPr>
          <w:rFonts w:ascii="Poppins" w:hAnsi="Poppins" w:cs="Poppins"/>
          <w:b/>
          <w:bCs/>
        </w:rPr>
      </w:pPr>
      <w:r w:rsidRPr="00B94194">
        <w:rPr>
          <w:rFonts w:ascii="Poppins" w:hAnsi="Poppins" w:cs="Poppins"/>
          <w:b/>
          <w:bCs/>
          <w:sz w:val="24"/>
          <w:szCs w:val="24"/>
        </w:rPr>
        <w:t xml:space="preserve">Cotação do Barril de Petróleo Bruto – referente ao dia </w:t>
      </w:r>
      <w:r w:rsidR="008B5E8A">
        <w:rPr>
          <w:rFonts w:ascii="Poppins" w:hAnsi="Poppins" w:cs="Poppins"/>
          <w:b/>
          <w:bCs/>
          <w:sz w:val="24"/>
          <w:szCs w:val="24"/>
        </w:rPr>
        <w:t>06</w:t>
      </w:r>
      <w:r w:rsidRPr="00B94194">
        <w:rPr>
          <w:rFonts w:ascii="Poppins" w:hAnsi="Poppins" w:cs="Poppins"/>
          <w:b/>
          <w:bCs/>
          <w:sz w:val="24"/>
          <w:szCs w:val="24"/>
        </w:rPr>
        <w:t xml:space="preserve"> 0</w:t>
      </w:r>
      <w:r w:rsidR="008B5E8A">
        <w:rPr>
          <w:rFonts w:ascii="Poppins" w:hAnsi="Poppins" w:cs="Poppins"/>
          <w:b/>
          <w:bCs/>
          <w:sz w:val="24"/>
          <w:szCs w:val="24"/>
        </w:rPr>
        <w:t>4</w:t>
      </w:r>
      <w:r w:rsidRPr="00B94194">
        <w:rPr>
          <w:rFonts w:ascii="Poppins" w:hAnsi="Poppins" w:cs="Poppins"/>
          <w:b/>
          <w:bCs/>
          <w:sz w:val="24"/>
          <w:szCs w:val="24"/>
        </w:rPr>
        <w:t xml:space="preserve"> 2023</w:t>
      </w:r>
    </w:p>
    <w:p w14:paraId="3BE04AEA" w14:textId="77777777" w:rsidR="00CC0FC9" w:rsidRPr="00CC0FC9" w:rsidRDefault="00CC0FC9" w:rsidP="00B31AA5">
      <w:pPr>
        <w:pStyle w:val="ListParagraph"/>
        <w:shd w:val="clear" w:color="auto" w:fill="FFFFFF" w:themeFill="background1"/>
        <w:spacing w:line="360" w:lineRule="auto"/>
        <w:ind w:left="720" w:firstLine="0"/>
        <w:rPr>
          <w:rFonts w:ascii="Poppins" w:hAnsi="Poppins" w:cs="Poppins"/>
          <w:b/>
          <w:bCs/>
          <w:sz w:val="4"/>
          <w:szCs w:val="4"/>
        </w:rPr>
      </w:pPr>
    </w:p>
    <w:p w14:paraId="6053CC84" w14:textId="65D6B28C" w:rsidR="00CC15B2" w:rsidRPr="00CC15B2" w:rsidRDefault="00CC15B2" w:rsidP="00B31AA5">
      <w:pPr>
        <w:shd w:val="clear" w:color="auto" w:fill="FFFFFF" w:themeFill="background1"/>
        <w:spacing w:line="360" w:lineRule="auto"/>
        <w:jc w:val="both"/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Sem transações registadas na sexta</w:t>
      </w:r>
      <w:r w:rsidRPr="00CC15B2">
        <w:rPr>
          <w:rFonts w:ascii="Poppins" w:hAnsi="Poppins" w:cs="Poppins"/>
          <w:sz w:val="24"/>
          <w:szCs w:val="24"/>
        </w:rPr>
        <w:t>-feira, dia</w:t>
      </w:r>
      <w:r>
        <w:rPr>
          <w:rFonts w:ascii="Poppins" w:hAnsi="Poppins" w:cs="Poppins"/>
          <w:sz w:val="24"/>
          <w:szCs w:val="24"/>
        </w:rPr>
        <w:t xml:space="preserve"> 07-04-2023, no dia anterior, quinta-feira, </w:t>
      </w:r>
      <w:r w:rsidRPr="00CC15B2">
        <w:rPr>
          <w:rFonts w:ascii="Poppins" w:hAnsi="Poppins" w:cs="Poppins"/>
          <w:sz w:val="24"/>
          <w:szCs w:val="24"/>
        </w:rPr>
        <w:t>06-04-2023, o barril fechou cotado a US$ 84,67 uma ligeira subida percentual do preço em 0,06% quando comparado com o preço do dia anterior, quarta-feira, dia 05-04-2023.</w:t>
      </w:r>
    </w:p>
    <w:p w14:paraId="09D9DE2A" w14:textId="77777777" w:rsidR="00CC15B2" w:rsidRPr="00CC15B2" w:rsidRDefault="00CC15B2" w:rsidP="00B31AA5">
      <w:pPr>
        <w:shd w:val="clear" w:color="auto" w:fill="FFFFFF" w:themeFill="background1"/>
        <w:spacing w:line="360" w:lineRule="auto"/>
        <w:jc w:val="both"/>
        <w:rPr>
          <w:rFonts w:ascii="Poppins" w:hAnsi="Poppins" w:cs="Poppins"/>
          <w:sz w:val="24"/>
          <w:szCs w:val="24"/>
        </w:rPr>
      </w:pPr>
    </w:p>
    <w:p w14:paraId="062CAE8E" w14:textId="443B244A" w:rsidR="00CC15B2" w:rsidRDefault="00CC15B2" w:rsidP="00B31AA5">
      <w:pPr>
        <w:shd w:val="clear" w:color="auto" w:fill="FFFFFF" w:themeFill="background1"/>
        <w:spacing w:line="360" w:lineRule="auto"/>
        <w:jc w:val="both"/>
        <w:rPr>
          <w:rFonts w:ascii="Poppins" w:hAnsi="Poppins" w:cs="Poppins"/>
          <w:sz w:val="24"/>
          <w:szCs w:val="24"/>
        </w:rPr>
      </w:pPr>
      <w:r w:rsidRPr="00CC15B2">
        <w:rPr>
          <w:rFonts w:ascii="Poppins" w:hAnsi="Poppins" w:cs="Poppins"/>
          <w:sz w:val="24"/>
          <w:szCs w:val="24"/>
        </w:rPr>
        <w:t>O valor de abertura foi de US$ 84,52, nesse mesmo dia o máximo atingido foi de US$ 85,03 e o mínimo de US$ 83,71.</w:t>
      </w:r>
    </w:p>
    <w:p w14:paraId="2BEC0805" w14:textId="18FC7931" w:rsidR="00CC15B2" w:rsidRDefault="00CC15B2" w:rsidP="00B31AA5">
      <w:pPr>
        <w:shd w:val="clear" w:color="auto" w:fill="FFFFFF" w:themeFill="background1"/>
        <w:spacing w:line="360" w:lineRule="auto"/>
        <w:jc w:val="both"/>
        <w:rPr>
          <w:rFonts w:ascii="Poppins" w:hAnsi="Poppins" w:cs="Poppins"/>
          <w:sz w:val="24"/>
          <w:szCs w:val="24"/>
        </w:rPr>
      </w:pPr>
    </w:p>
    <w:p w14:paraId="3712A423" w14:textId="1A8721C5" w:rsidR="00CC15B2" w:rsidRPr="00B94194" w:rsidRDefault="00CC15B2" w:rsidP="00B31AA5">
      <w:pPr>
        <w:shd w:val="clear" w:color="auto" w:fill="FFFFFF" w:themeFill="background1"/>
        <w:spacing w:line="360" w:lineRule="auto"/>
        <w:jc w:val="both"/>
        <w:rPr>
          <w:rFonts w:ascii="Poppins" w:hAnsi="Poppins" w:cs="Poppins"/>
          <w:sz w:val="24"/>
          <w:szCs w:val="24"/>
        </w:rPr>
      </w:pPr>
      <w:r w:rsidRPr="00B94194">
        <w:rPr>
          <w:rFonts w:ascii="Poppins" w:hAnsi="Poppins" w:cs="Poppins"/>
          <w:sz w:val="24"/>
          <w:szCs w:val="24"/>
        </w:rPr>
        <w:t xml:space="preserve">A média semanal do preço do barril foi de US$ </w:t>
      </w:r>
      <w:r>
        <w:rPr>
          <w:rFonts w:ascii="Poppins" w:hAnsi="Poppins" w:cs="Poppins"/>
          <w:sz w:val="24"/>
          <w:szCs w:val="24"/>
        </w:rPr>
        <w:t>85,00</w:t>
      </w:r>
      <w:r w:rsidRPr="00B94194">
        <w:rPr>
          <w:rFonts w:ascii="Poppins" w:hAnsi="Poppins" w:cs="Poppins"/>
          <w:sz w:val="24"/>
          <w:szCs w:val="24"/>
        </w:rPr>
        <w:t>, um</w:t>
      </w:r>
      <w:r>
        <w:rPr>
          <w:rFonts w:ascii="Poppins" w:hAnsi="Poppins" w:cs="Poppins"/>
          <w:sz w:val="24"/>
          <w:szCs w:val="24"/>
        </w:rPr>
        <w:t xml:space="preserve">a variação positiva </w:t>
      </w:r>
      <w:r w:rsidRPr="00B94194">
        <w:rPr>
          <w:rFonts w:ascii="Poppins" w:hAnsi="Poppins" w:cs="Poppins"/>
          <w:sz w:val="24"/>
          <w:szCs w:val="24"/>
        </w:rPr>
        <w:t xml:space="preserve">de cerca de </w:t>
      </w:r>
      <w:r>
        <w:rPr>
          <w:rFonts w:ascii="Poppins" w:hAnsi="Poppins" w:cs="Poppins"/>
          <w:sz w:val="24"/>
          <w:szCs w:val="24"/>
        </w:rPr>
        <w:t>7</w:t>
      </w:r>
      <w:r w:rsidRPr="00B94194">
        <w:rPr>
          <w:rFonts w:ascii="Poppins" w:hAnsi="Poppins" w:cs="Poppins"/>
          <w:sz w:val="24"/>
          <w:szCs w:val="24"/>
        </w:rPr>
        <w:t>,</w:t>
      </w:r>
      <w:r w:rsidR="008B5E8A">
        <w:rPr>
          <w:rFonts w:ascii="Poppins" w:hAnsi="Poppins" w:cs="Poppins"/>
          <w:sz w:val="24"/>
          <w:szCs w:val="24"/>
        </w:rPr>
        <w:t>84</w:t>
      </w:r>
      <w:r w:rsidRPr="00B94194">
        <w:rPr>
          <w:rFonts w:ascii="Poppins" w:hAnsi="Poppins" w:cs="Poppins"/>
          <w:sz w:val="24"/>
          <w:szCs w:val="24"/>
        </w:rPr>
        <w:t xml:space="preserve">% em relação a semana anterior. </w:t>
      </w:r>
    </w:p>
    <w:p w14:paraId="28C20A52" w14:textId="77777777" w:rsidR="00CC15B2" w:rsidRPr="00CC15B2" w:rsidRDefault="00CC15B2" w:rsidP="00B31AA5">
      <w:pPr>
        <w:shd w:val="clear" w:color="auto" w:fill="FFFFFF" w:themeFill="background1"/>
        <w:spacing w:line="360" w:lineRule="auto"/>
        <w:jc w:val="both"/>
        <w:rPr>
          <w:rFonts w:ascii="Poppins" w:hAnsi="Poppins" w:cs="Poppins"/>
          <w:sz w:val="24"/>
          <w:szCs w:val="24"/>
        </w:rPr>
      </w:pPr>
    </w:p>
    <w:p w14:paraId="26CCE029" w14:textId="799D9EE0" w:rsidR="00CC15B2" w:rsidRPr="008B5E8A" w:rsidRDefault="00CC15B2" w:rsidP="00B31AA5">
      <w:pPr>
        <w:shd w:val="clear" w:color="auto" w:fill="FFFFFF" w:themeFill="background1"/>
        <w:spacing w:line="360" w:lineRule="auto"/>
        <w:jc w:val="center"/>
        <w:rPr>
          <w:rFonts w:ascii="Poppins" w:hAnsi="Poppins" w:cs="Poppins"/>
        </w:rPr>
      </w:pPr>
      <w:r w:rsidRPr="008B5E8A">
        <w:rPr>
          <w:rFonts w:ascii="Poppins" w:hAnsi="Poppins" w:cs="Poppins"/>
        </w:rPr>
        <w:t xml:space="preserve">Tabela </w:t>
      </w:r>
      <w:r w:rsidR="00206B41">
        <w:rPr>
          <w:rFonts w:ascii="Poppins" w:hAnsi="Poppins" w:cs="Poppins"/>
        </w:rPr>
        <w:t xml:space="preserve">1: </w:t>
      </w:r>
      <w:r w:rsidRPr="008B5E8A">
        <w:rPr>
          <w:rFonts w:ascii="Poppins" w:hAnsi="Poppins" w:cs="Poppins"/>
        </w:rPr>
        <w:t xml:space="preserve"> Preço do Crude a nível internacional referente ao dia 06-04-2023</w:t>
      </w:r>
    </w:p>
    <w:p w14:paraId="1CC05DD6" w14:textId="77777777" w:rsidR="00CC15B2" w:rsidRDefault="00CC15B2" w:rsidP="00B31AA5">
      <w:pPr>
        <w:shd w:val="clear" w:color="auto" w:fill="FFFFFF" w:themeFill="background1"/>
        <w:spacing w:line="36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ADCA586" wp14:editId="1DC6C3CC">
            <wp:extent cx="5943600" cy="6032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D22C5" w14:textId="77777777" w:rsidR="00CC15B2" w:rsidRDefault="00CC15B2" w:rsidP="00B31AA5">
      <w:pPr>
        <w:shd w:val="clear" w:color="auto" w:fill="FFFFFF" w:themeFill="background1"/>
        <w:spacing w:line="360" w:lineRule="auto"/>
        <w:jc w:val="both"/>
        <w:rPr>
          <w:rFonts w:ascii="Poppins" w:hAnsi="Poppins" w:cs="Poppins"/>
          <w:sz w:val="24"/>
          <w:szCs w:val="24"/>
        </w:rPr>
      </w:pPr>
    </w:p>
    <w:p w14:paraId="4662D5F7" w14:textId="77777777" w:rsidR="00CC0FC9" w:rsidRDefault="00CC0FC9" w:rsidP="00B31AA5">
      <w:pPr>
        <w:shd w:val="clear" w:color="auto" w:fill="FFFFFF" w:themeFill="background1"/>
        <w:spacing w:line="36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5B8E1D88" w14:textId="3BFCD4AD" w:rsidR="005E31B4" w:rsidRPr="00B94194" w:rsidRDefault="005E31B4" w:rsidP="00B31AA5">
      <w:pPr>
        <w:pStyle w:val="ListParagraph"/>
        <w:numPr>
          <w:ilvl w:val="0"/>
          <w:numId w:val="9"/>
        </w:numPr>
        <w:shd w:val="clear" w:color="auto" w:fill="FFFFFF" w:themeFill="background1"/>
        <w:spacing w:line="360" w:lineRule="auto"/>
        <w:rPr>
          <w:rFonts w:ascii="Poppins" w:hAnsi="Poppins" w:cs="Poppins"/>
          <w:b/>
          <w:bCs/>
        </w:rPr>
      </w:pPr>
      <w:r w:rsidRPr="00B94194">
        <w:rPr>
          <w:rFonts w:ascii="Poppins" w:hAnsi="Poppins" w:cs="Poppins"/>
          <w:b/>
          <w:bCs/>
        </w:rPr>
        <w:t xml:space="preserve">Evolução do Preço do Barril de Petróleo: </w:t>
      </w:r>
      <w:r w:rsidR="008B5E8A">
        <w:rPr>
          <w:rFonts w:ascii="Poppins" w:hAnsi="Poppins" w:cs="Poppins"/>
          <w:b/>
          <w:bCs/>
        </w:rPr>
        <w:t xml:space="preserve">25 </w:t>
      </w:r>
      <w:r w:rsidRPr="00B94194">
        <w:rPr>
          <w:rFonts w:ascii="Poppins" w:hAnsi="Poppins" w:cs="Poppins"/>
          <w:b/>
          <w:bCs/>
        </w:rPr>
        <w:t xml:space="preserve">03 2023 a </w:t>
      </w:r>
      <w:r w:rsidR="008B5E8A">
        <w:rPr>
          <w:rFonts w:ascii="Poppins" w:hAnsi="Poppins" w:cs="Poppins"/>
          <w:b/>
          <w:bCs/>
        </w:rPr>
        <w:t>07</w:t>
      </w:r>
      <w:r w:rsidRPr="00B94194">
        <w:rPr>
          <w:rFonts w:ascii="Poppins" w:hAnsi="Poppins" w:cs="Poppins"/>
          <w:b/>
          <w:bCs/>
        </w:rPr>
        <w:t xml:space="preserve"> 0</w:t>
      </w:r>
      <w:r w:rsidR="008B5E8A">
        <w:rPr>
          <w:rFonts w:ascii="Poppins" w:hAnsi="Poppins" w:cs="Poppins"/>
          <w:b/>
          <w:bCs/>
        </w:rPr>
        <w:t>4</w:t>
      </w:r>
      <w:r w:rsidRPr="00B94194">
        <w:rPr>
          <w:rFonts w:ascii="Poppins" w:hAnsi="Poppins" w:cs="Poppins"/>
          <w:b/>
          <w:bCs/>
        </w:rPr>
        <w:t xml:space="preserve"> 2023</w:t>
      </w:r>
    </w:p>
    <w:p w14:paraId="0C818393" w14:textId="45B41827" w:rsidR="002006D9" w:rsidRPr="00790A04" w:rsidRDefault="008108FC" w:rsidP="00B31AA5">
      <w:pPr>
        <w:pStyle w:val="BodyText"/>
        <w:shd w:val="clear" w:color="auto" w:fill="FFFFFF" w:themeFill="background1"/>
        <w:spacing w:before="1" w:line="360" w:lineRule="auto"/>
        <w:ind w:left="118" w:right="110"/>
        <w:jc w:val="both"/>
        <w:rPr>
          <w:rFonts w:ascii="Poppins" w:hAnsi="Poppins" w:cs="Poppins"/>
        </w:rPr>
      </w:pPr>
      <w:r w:rsidRPr="00790A04">
        <w:rPr>
          <w:rFonts w:ascii="Poppins" w:hAnsi="Poppins" w:cs="Poppins"/>
        </w:rPr>
        <w:t xml:space="preserve">O </w:t>
      </w:r>
      <w:r w:rsidR="002006D9" w:rsidRPr="00790A04">
        <w:rPr>
          <w:rFonts w:ascii="Poppins" w:hAnsi="Poppins" w:cs="Poppins"/>
        </w:rPr>
        <w:t>comportamento</w:t>
      </w:r>
      <w:r w:rsidRPr="00790A04">
        <w:rPr>
          <w:rFonts w:ascii="Poppins" w:hAnsi="Poppins" w:cs="Poppins"/>
        </w:rPr>
        <w:t xml:space="preserve"> </w:t>
      </w:r>
      <w:proofErr w:type="spellStart"/>
      <w:r w:rsidRPr="00790A04">
        <w:rPr>
          <w:rFonts w:ascii="Poppins" w:hAnsi="Poppins" w:cs="Poppins"/>
        </w:rPr>
        <w:t>actual</w:t>
      </w:r>
      <w:proofErr w:type="spellEnd"/>
      <w:r w:rsidR="002006D9" w:rsidRPr="00790A04">
        <w:rPr>
          <w:rFonts w:ascii="Poppins" w:hAnsi="Poppins" w:cs="Poppins"/>
        </w:rPr>
        <w:t xml:space="preserve"> </w:t>
      </w:r>
      <w:r w:rsidRPr="00790A04">
        <w:rPr>
          <w:rFonts w:ascii="Poppins" w:hAnsi="Poppins" w:cs="Poppins"/>
        </w:rPr>
        <w:t xml:space="preserve">do preço do Barril tem sido </w:t>
      </w:r>
      <w:r w:rsidR="002006D9" w:rsidRPr="00790A04">
        <w:rPr>
          <w:rFonts w:ascii="Poppins" w:hAnsi="Poppins" w:cs="Poppins"/>
        </w:rPr>
        <w:t>influenciado pel</w:t>
      </w:r>
      <w:r w:rsidRPr="00790A04">
        <w:rPr>
          <w:rFonts w:ascii="Poppins" w:hAnsi="Poppins" w:cs="Poppins"/>
        </w:rPr>
        <w:t xml:space="preserve">o aumento da procura da </w:t>
      </w:r>
      <w:r w:rsidR="008070BB" w:rsidRPr="00790A04">
        <w:rPr>
          <w:rFonts w:ascii="Poppins" w:hAnsi="Poppins" w:cs="Poppins"/>
        </w:rPr>
        <w:t xml:space="preserve">China, </w:t>
      </w:r>
      <w:r w:rsidRPr="00790A04">
        <w:rPr>
          <w:rFonts w:ascii="Poppins" w:hAnsi="Poppins" w:cs="Poppins"/>
        </w:rPr>
        <w:t>doutro lado os</w:t>
      </w:r>
      <w:r w:rsidR="008070BB" w:rsidRPr="00790A04">
        <w:rPr>
          <w:rFonts w:ascii="Poppins" w:hAnsi="Poppins" w:cs="Poppins"/>
        </w:rPr>
        <w:t xml:space="preserve"> </w:t>
      </w:r>
      <w:r w:rsidRPr="00790A04">
        <w:rPr>
          <w:rFonts w:ascii="Poppins" w:hAnsi="Poppins" w:cs="Poppins"/>
        </w:rPr>
        <w:t xml:space="preserve">dos Bancos Centrais tem </w:t>
      </w:r>
      <w:r w:rsidR="00FB5A04" w:rsidRPr="00790A04">
        <w:rPr>
          <w:rFonts w:ascii="Poppins" w:hAnsi="Poppins" w:cs="Poppins"/>
        </w:rPr>
        <w:t>aument</w:t>
      </w:r>
      <w:r w:rsidRPr="00790A04">
        <w:rPr>
          <w:rFonts w:ascii="Poppins" w:hAnsi="Poppins" w:cs="Poppins"/>
        </w:rPr>
        <w:t>ado</w:t>
      </w:r>
      <w:r w:rsidR="008070BB" w:rsidRPr="00790A04">
        <w:rPr>
          <w:rFonts w:ascii="Poppins" w:hAnsi="Poppins" w:cs="Poppins"/>
        </w:rPr>
        <w:t xml:space="preserve"> as taxas de juro para atenuar a inflação</w:t>
      </w:r>
      <w:r w:rsidR="00FB5A04" w:rsidRPr="00790A04">
        <w:rPr>
          <w:rFonts w:ascii="Poppins" w:hAnsi="Poppins" w:cs="Poppins"/>
        </w:rPr>
        <w:t>.</w:t>
      </w:r>
      <w:r w:rsidR="008070BB" w:rsidRPr="00790A04">
        <w:rPr>
          <w:rFonts w:ascii="Poppins" w:hAnsi="Poppins" w:cs="Poppins"/>
        </w:rPr>
        <w:t xml:space="preserve"> </w:t>
      </w:r>
    </w:p>
    <w:p w14:paraId="290F5F72" w14:textId="4739A4AA" w:rsidR="00790A04" w:rsidRPr="00B94194" w:rsidRDefault="00790A04" w:rsidP="00B31AA5">
      <w:pPr>
        <w:pStyle w:val="BodyText"/>
        <w:shd w:val="clear" w:color="auto" w:fill="FFFFFF" w:themeFill="background1"/>
        <w:spacing w:before="1" w:line="360" w:lineRule="auto"/>
        <w:ind w:left="118" w:right="110"/>
        <w:jc w:val="both"/>
        <w:rPr>
          <w:rFonts w:ascii="Poppins" w:hAnsi="Poppins" w:cs="Poppins"/>
        </w:rPr>
      </w:pPr>
      <w:r w:rsidRPr="00790A04">
        <w:rPr>
          <w:rFonts w:ascii="Poppins" w:hAnsi="Poppins" w:cs="Poppins"/>
        </w:rPr>
        <w:t xml:space="preserve">O Banco de Moçambique também aumentou a prime rate, situando-se a </w:t>
      </w:r>
      <w:proofErr w:type="spellStart"/>
      <w:r w:rsidRPr="00790A04">
        <w:rPr>
          <w:rFonts w:ascii="Poppins" w:hAnsi="Poppins" w:cs="Poppins"/>
        </w:rPr>
        <w:t>actualmnete</w:t>
      </w:r>
      <w:proofErr w:type="spellEnd"/>
      <w:r w:rsidRPr="00790A04">
        <w:rPr>
          <w:rFonts w:ascii="Poppins" w:hAnsi="Poppins" w:cs="Poppins"/>
        </w:rPr>
        <w:t xml:space="preserve"> em 23,50%.</w:t>
      </w:r>
    </w:p>
    <w:p w14:paraId="20FD6CFF" w14:textId="3E0A782A" w:rsidR="00206B41" w:rsidRPr="00206B41" w:rsidRDefault="00206B41" w:rsidP="00B31AA5">
      <w:pPr>
        <w:pStyle w:val="BodyText"/>
        <w:spacing w:before="1" w:line="360" w:lineRule="auto"/>
        <w:ind w:left="118" w:right="110"/>
        <w:jc w:val="both"/>
        <w:rPr>
          <w:rFonts w:ascii="Poppins" w:hAnsi="Poppins" w:cs="Poppins"/>
        </w:rPr>
      </w:pPr>
      <w:r w:rsidRPr="00206B41">
        <w:rPr>
          <w:rFonts w:ascii="Poppins" w:hAnsi="Poppins" w:cs="Poppins"/>
        </w:rPr>
        <w:t xml:space="preserve">Gráfico 1: </w:t>
      </w:r>
      <w:r w:rsidRPr="00206B41">
        <w:rPr>
          <w:rFonts w:ascii="Poppins" w:hAnsi="Poppins" w:cs="Poppins"/>
        </w:rPr>
        <w:t>Evolução do preço do Barril do Crude (USB/</w:t>
      </w:r>
      <w:proofErr w:type="spellStart"/>
      <w:r w:rsidRPr="00206B41">
        <w:rPr>
          <w:rFonts w:ascii="Poppins" w:hAnsi="Poppins" w:cs="Poppins"/>
        </w:rPr>
        <w:t>Bbl</w:t>
      </w:r>
      <w:proofErr w:type="spellEnd"/>
      <w:r w:rsidRPr="00206B41">
        <w:rPr>
          <w:rFonts w:ascii="Poppins" w:hAnsi="Poppins" w:cs="Poppins"/>
        </w:rPr>
        <w:t>)</w:t>
      </w:r>
    </w:p>
    <w:p w14:paraId="532FCBC2" w14:textId="14790393" w:rsidR="00206B41" w:rsidRDefault="005A589B" w:rsidP="00B31AA5">
      <w:pPr>
        <w:pStyle w:val="BodyText"/>
        <w:spacing w:before="1" w:line="360" w:lineRule="auto"/>
        <w:ind w:left="118" w:right="110"/>
        <w:jc w:val="both"/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noProof/>
          <w:sz w:val="22"/>
          <w:szCs w:val="22"/>
        </w:rPr>
        <w:drawing>
          <wp:inline distT="0" distB="0" distL="0" distR="0" wp14:anchorId="2A2C9EBA" wp14:editId="58F39A73">
            <wp:extent cx="6102350" cy="2780030"/>
            <wp:effectExtent l="0" t="0" r="0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278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0DB803" w14:textId="560E3307" w:rsidR="00790A04" w:rsidRPr="00790A04" w:rsidRDefault="00790A04" w:rsidP="00B31AA5">
      <w:pPr>
        <w:pStyle w:val="BodyText"/>
        <w:spacing w:before="1" w:line="360" w:lineRule="auto"/>
        <w:ind w:left="118" w:right="110"/>
        <w:jc w:val="both"/>
        <w:rPr>
          <w:rFonts w:ascii="Poppins" w:hAnsi="Poppins" w:cs="Poppins"/>
        </w:rPr>
      </w:pPr>
      <w:r w:rsidRPr="00790A04">
        <w:rPr>
          <w:rFonts w:ascii="Poppins" w:hAnsi="Poppins" w:cs="Poppins"/>
        </w:rPr>
        <w:t>A primeira metade do período em análise teve comportamento de estabilidade dos preços dos</w:t>
      </w:r>
      <w:r w:rsidR="008B76EC" w:rsidRPr="00790A04">
        <w:rPr>
          <w:rFonts w:ascii="Poppins" w:hAnsi="Poppins" w:cs="Poppins"/>
        </w:rPr>
        <w:t xml:space="preserve"> contratos futuros de petróleo Brent</w:t>
      </w:r>
      <w:r w:rsidRPr="00790A04">
        <w:rPr>
          <w:rFonts w:ascii="Poppins" w:hAnsi="Poppins" w:cs="Poppins"/>
        </w:rPr>
        <w:t xml:space="preserve">, entretanto, a partir do início de </w:t>
      </w:r>
      <w:proofErr w:type="gramStart"/>
      <w:r w:rsidRPr="00790A04">
        <w:rPr>
          <w:rFonts w:ascii="Poppins" w:hAnsi="Poppins" w:cs="Poppins"/>
        </w:rPr>
        <w:t>Abril</w:t>
      </w:r>
      <w:proofErr w:type="gramEnd"/>
      <w:r w:rsidRPr="00790A04">
        <w:rPr>
          <w:rFonts w:ascii="Poppins" w:hAnsi="Poppins" w:cs="Poppins"/>
        </w:rPr>
        <w:t xml:space="preserve"> </w:t>
      </w:r>
      <w:r>
        <w:rPr>
          <w:rFonts w:ascii="Poppins" w:hAnsi="Poppins" w:cs="Poppins"/>
        </w:rPr>
        <w:t xml:space="preserve">o </w:t>
      </w:r>
      <w:r w:rsidR="000E27C7" w:rsidRPr="00790A04">
        <w:rPr>
          <w:rFonts w:ascii="Poppins" w:hAnsi="Poppins" w:cs="Poppins"/>
        </w:rPr>
        <w:t xml:space="preserve">Petróleo </w:t>
      </w:r>
      <w:r w:rsidRPr="00790A04">
        <w:rPr>
          <w:rFonts w:ascii="Poppins" w:hAnsi="Poppins" w:cs="Poppins"/>
        </w:rPr>
        <w:t>variou</w:t>
      </w:r>
      <w:r w:rsidR="000E27C7" w:rsidRPr="00790A04">
        <w:rPr>
          <w:rFonts w:ascii="Poppins" w:hAnsi="Poppins" w:cs="Poppins"/>
        </w:rPr>
        <w:t xml:space="preserve"> mais de 6% com corte surpresa de produção da </w:t>
      </w:r>
      <w:r w:rsidRPr="00790A04">
        <w:rPr>
          <w:rFonts w:ascii="Poppins" w:hAnsi="Poppins" w:cs="Poppins"/>
        </w:rPr>
        <w:t>OPEP</w:t>
      </w:r>
      <w:r w:rsidR="000E27C7" w:rsidRPr="00790A04">
        <w:rPr>
          <w:rFonts w:ascii="Poppins" w:hAnsi="Poppins" w:cs="Poppins"/>
        </w:rPr>
        <w:t>+</w:t>
      </w:r>
      <w:r w:rsidRPr="00790A04">
        <w:rPr>
          <w:rFonts w:ascii="Poppins" w:hAnsi="Poppins" w:cs="Poppins"/>
        </w:rPr>
        <w:t xml:space="preserve"> em mais de 1.6 milhões de baris por dia.</w:t>
      </w:r>
    </w:p>
    <w:p w14:paraId="51312A3F" w14:textId="22F964DC" w:rsidR="000E27C7" w:rsidRPr="00790A04" w:rsidRDefault="000E27C7" w:rsidP="00B31AA5">
      <w:pPr>
        <w:pStyle w:val="BodyText"/>
        <w:spacing w:before="1" w:line="360" w:lineRule="auto"/>
        <w:ind w:left="118" w:right="110"/>
        <w:jc w:val="both"/>
        <w:rPr>
          <w:rFonts w:ascii="Poppins" w:hAnsi="Poppins" w:cs="Poppins"/>
        </w:rPr>
      </w:pPr>
      <w:r w:rsidRPr="00790A04">
        <w:rPr>
          <w:rFonts w:ascii="Poppins" w:hAnsi="Poppins" w:cs="Poppins"/>
        </w:rPr>
        <w:t>Com isso, o contrato futuro do petróleo Brent com vencimento em junho fechou com alta de 6,31%</w:t>
      </w:r>
      <w:r w:rsidR="00790A04" w:rsidRPr="00790A04">
        <w:rPr>
          <w:rFonts w:ascii="Poppins" w:hAnsi="Poppins" w:cs="Poppins"/>
        </w:rPr>
        <w:t xml:space="preserve"> ao dia seguinte do anúncio do corte.</w:t>
      </w:r>
    </w:p>
    <w:p w14:paraId="506BC9FE" w14:textId="5230E7EB" w:rsidR="00790A04" w:rsidRDefault="00790A04" w:rsidP="00B31AA5">
      <w:pPr>
        <w:pStyle w:val="BodyText"/>
        <w:spacing w:before="1" w:line="360" w:lineRule="auto"/>
        <w:ind w:left="118" w:right="110"/>
        <w:jc w:val="both"/>
        <w:rPr>
          <w:rFonts w:ascii="Helvetica" w:hAnsi="Helvetica"/>
          <w:color w:val="000000"/>
        </w:rPr>
      </w:pPr>
    </w:p>
    <w:p w14:paraId="393E099F" w14:textId="2A7C9446" w:rsidR="00790A04" w:rsidRPr="00790A04" w:rsidRDefault="00790A04" w:rsidP="00B31AA5">
      <w:pPr>
        <w:pStyle w:val="BodyText"/>
        <w:spacing w:before="1" w:line="360" w:lineRule="auto"/>
        <w:ind w:left="118" w:right="110"/>
        <w:jc w:val="both"/>
        <w:rPr>
          <w:rFonts w:ascii="Poppins" w:hAnsi="Poppins" w:cs="Poppins"/>
          <w:sz w:val="22"/>
          <w:szCs w:val="22"/>
        </w:rPr>
      </w:pPr>
      <w:r w:rsidRPr="00790A04">
        <w:rPr>
          <w:rFonts w:ascii="Poppins" w:hAnsi="Poppins" w:cs="Poppins"/>
          <w:sz w:val="22"/>
          <w:szCs w:val="22"/>
        </w:rPr>
        <w:t>Tabela</w:t>
      </w:r>
      <w:r w:rsidR="00206B41">
        <w:rPr>
          <w:rFonts w:ascii="Poppins" w:hAnsi="Poppins" w:cs="Poppins"/>
          <w:sz w:val="22"/>
          <w:szCs w:val="22"/>
        </w:rPr>
        <w:t xml:space="preserve"> 2: R</w:t>
      </w:r>
      <w:r w:rsidRPr="00790A04">
        <w:rPr>
          <w:rFonts w:ascii="Poppins" w:hAnsi="Poppins" w:cs="Poppins"/>
          <w:sz w:val="22"/>
          <w:szCs w:val="22"/>
        </w:rPr>
        <w:t xml:space="preserve">eduções de produção em bpd dos países da OPEP+ </w:t>
      </w:r>
    </w:p>
    <w:p w14:paraId="5003395B" w14:textId="54FE53B1" w:rsidR="00A814FC" w:rsidRDefault="00CC5EDD" w:rsidP="00B31AA5">
      <w:pPr>
        <w:pStyle w:val="BodyText"/>
        <w:spacing w:line="360" w:lineRule="auto"/>
        <w:ind w:left="118" w:right="108"/>
        <w:jc w:val="both"/>
        <w:rPr>
          <w:rFonts w:ascii="Poppins" w:hAnsi="Poppins" w:cs="Poppins"/>
        </w:rPr>
      </w:pPr>
      <w:r w:rsidRPr="00CC5EDD">
        <w:drawing>
          <wp:inline distT="0" distB="0" distL="0" distR="0" wp14:anchorId="769718F6" wp14:editId="735E23B6">
            <wp:extent cx="6089650" cy="3361690"/>
            <wp:effectExtent l="0" t="0" r="635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EA539" w14:textId="77777777" w:rsidR="00CB1BB3" w:rsidRPr="00206B41" w:rsidRDefault="00CB1BB3" w:rsidP="00B31AA5">
      <w:pPr>
        <w:pStyle w:val="Heading1"/>
        <w:numPr>
          <w:ilvl w:val="0"/>
          <w:numId w:val="1"/>
        </w:numPr>
        <w:shd w:val="clear" w:color="auto" w:fill="FFFFFF" w:themeFill="background1"/>
        <w:tabs>
          <w:tab w:val="left" w:pos="347"/>
        </w:tabs>
        <w:spacing w:line="360" w:lineRule="auto"/>
        <w:ind w:hanging="229"/>
        <w:jc w:val="both"/>
        <w:rPr>
          <w:rFonts w:ascii="Poppins" w:hAnsi="Poppins" w:cs="Poppins"/>
        </w:rPr>
      </w:pPr>
      <w:bookmarkStart w:id="1" w:name="_bookmark1"/>
      <w:bookmarkEnd w:id="1"/>
      <w:r w:rsidRPr="00206B41">
        <w:rPr>
          <w:rFonts w:ascii="Poppins" w:hAnsi="Poppins" w:cs="Poppins"/>
        </w:rPr>
        <w:t>Evolução</w:t>
      </w:r>
      <w:r w:rsidRPr="00206B41">
        <w:rPr>
          <w:rFonts w:ascii="Poppins" w:hAnsi="Poppins" w:cs="Poppins"/>
          <w:spacing w:val="-5"/>
        </w:rPr>
        <w:t xml:space="preserve"> </w:t>
      </w:r>
      <w:r w:rsidRPr="00206B41">
        <w:rPr>
          <w:rFonts w:ascii="Poppins" w:hAnsi="Poppins" w:cs="Poppins"/>
        </w:rPr>
        <w:t>do</w:t>
      </w:r>
      <w:r w:rsidRPr="00206B41">
        <w:rPr>
          <w:rFonts w:ascii="Poppins" w:hAnsi="Poppins" w:cs="Poppins"/>
          <w:spacing w:val="-3"/>
        </w:rPr>
        <w:t xml:space="preserve"> </w:t>
      </w:r>
      <w:r w:rsidRPr="00206B41">
        <w:rPr>
          <w:rFonts w:ascii="Poppins" w:hAnsi="Poppins" w:cs="Poppins"/>
        </w:rPr>
        <w:t>Preço CIF</w:t>
      </w:r>
      <w:r w:rsidRPr="00206B41">
        <w:rPr>
          <w:rFonts w:ascii="Poppins" w:hAnsi="Poppins" w:cs="Poppins"/>
          <w:spacing w:val="-5"/>
        </w:rPr>
        <w:t xml:space="preserve"> </w:t>
      </w:r>
    </w:p>
    <w:p w14:paraId="13854F68" w14:textId="5329CAE2" w:rsidR="00CB1BB3" w:rsidRPr="00206B41" w:rsidRDefault="00CB1BB3" w:rsidP="00B31AA5">
      <w:pPr>
        <w:pStyle w:val="BodyText"/>
        <w:shd w:val="clear" w:color="auto" w:fill="FFFFFF" w:themeFill="background1"/>
        <w:spacing w:before="139" w:line="360" w:lineRule="auto"/>
        <w:ind w:right="109"/>
        <w:jc w:val="both"/>
        <w:rPr>
          <w:rFonts w:ascii="Poppins" w:hAnsi="Poppins" w:cs="Poppins"/>
          <w:sz w:val="22"/>
          <w:szCs w:val="22"/>
        </w:rPr>
      </w:pPr>
      <w:r w:rsidRPr="00206B41">
        <w:rPr>
          <w:rFonts w:ascii="Poppins" w:hAnsi="Poppins" w:cs="Poppins"/>
          <w:sz w:val="22"/>
          <w:szCs w:val="22"/>
        </w:rPr>
        <w:t xml:space="preserve">O Preço CIF de </w:t>
      </w:r>
      <w:proofErr w:type="gramStart"/>
      <w:r w:rsidR="00790A04" w:rsidRPr="00206B41">
        <w:rPr>
          <w:rFonts w:ascii="Poppins" w:hAnsi="Poppins" w:cs="Poppins"/>
          <w:sz w:val="22"/>
          <w:szCs w:val="22"/>
        </w:rPr>
        <w:t>Março</w:t>
      </w:r>
      <w:proofErr w:type="gramEnd"/>
      <w:r w:rsidRPr="00206B41">
        <w:rPr>
          <w:rFonts w:ascii="Poppins" w:hAnsi="Poppins" w:cs="Poppins"/>
          <w:sz w:val="22"/>
          <w:szCs w:val="22"/>
        </w:rPr>
        <w:t xml:space="preserve">, que é usado no cálculo dos preços de venda de </w:t>
      </w:r>
      <w:r w:rsidR="00790A04" w:rsidRPr="00206B41">
        <w:rPr>
          <w:rFonts w:ascii="Poppins" w:hAnsi="Poppins" w:cs="Poppins"/>
          <w:sz w:val="22"/>
          <w:szCs w:val="22"/>
        </w:rPr>
        <w:t>Abril</w:t>
      </w:r>
      <w:r w:rsidRPr="00206B41">
        <w:rPr>
          <w:rFonts w:ascii="Poppins" w:hAnsi="Poppins" w:cs="Poppins"/>
          <w:sz w:val="22"/>
          <w:szCs w:val="22"/>
        </w:rPr>
        <w:t>, registou os seguintes resultados em relação ao mês anterior:</w:t>
      </w:r>
    </w:p>
    <w:p w14:paraId="7C43F822" w14:textId="7CADB0F6" w:rsidR="00CB1BB3" w:rsidRPr="00206B41" w:rsidRDefault="00CB1BB3" w:rsidP="00B31AA5">
      <w:pPr>
        <w:pStyle w:val="BodyText"/>
        <w:shd w:val="clear" w:color="auto" w:fill="FFFFFF" w:themeFill="background1"/>
        <w:spacing w:before="139" w:line="360" w:lineRule="auto"/>
        <w:ind w:right="109"/>
        <w:jc w:val="both"/>
        <w:rPr>
          <w:rFonts w:ascii="Poppins" w:hAnsi="Poppins" w:cs="Poppins"/>
          <w:sz w:val="22"/>
          <w:szCs w:val="22"/>
        </w:rPr>
      </w:pPr>
      <w:r w:rsidRPr="00206B41">
        <w:rPr>
          <w:rFonts w:ascii="Poppins" w:hAnsi="Poppins" w:cs="Poppins"/>
          <w:sz w:val="22"/>
          <w:szCs w:val="22"/>
        </w:rPr>
        <w:t xml:space="preserve">Gasolina, </w:t>
      </w:r>
      <w:r w:rsidR="00206B41" w:rsidRPr="00206B41">
        <w:rPr>
          <w:rFonts w:ascii="Poppins" w:hAnsi="Poppins" w:cs="Poppins"/>
          <w:sz w:val="22"/>
          <w:szCs w:val="22"/>
        </w:rPr>
        <w:t>aumento</w:t>
      </w:r>
      <w:r w:rsidRPr="00206B41">
        <w:rPr>
          <w:rFonts w:ascii="Poppins" w:hAnsi="Poppins" w:cs="Poppins"/>
          <w:sz w:val="22"/>
          <w:szCs w:val="22"/>
        </w:rPr>
        <w:t xml:space="preserve"> em </w:t>
      </w:r>
      <w:r w:rsidR="00206B41" w:rsidRPr="00206B41">
        <w:rPr>
          <w:rFonts w:ascii="Poppins" w:hAnsi="Poppins" w:cs="Poppins"/>
          <w:sz w:val="22"/>
          <w:szCs w:val="22"/>
        </w:rPr>
        <w:t>7</w:t>
      </w:r>
      <w:r w:rsidRPr="00206B41">
        <w:rPr>
          <w:rFonts w:ascii="Poppins" w:hAnsi="Poppins" w:cs="Poppins"/>
          <w:sz w:val="22"/>
          <w:szCs w:val="22"/>
        </w:rPr>
        <w:t>,</w:t>
      </w:r>
      <w:r w:rsidR="00206B41" w:rsidRPr="00206B41">
        <w:rPr>
          <w:rFonts w:ascii="Poppins" w:hAnsi="Poppins" w:cs="Poppins"/>
          <w:sz w:val="22"/>
          <w:szCs w:val="22"/>
        </w:rPr>
        <w:t>2</w:t>
      </w:r>
      <w:r w:rsidRPr="00206B41">
        <w:rPr>
          <w:rFonts w:ascii="Poppins" w:hAnsi="Poppins" w:cs="Poppins"/>
          <w:sz w:val="22"/>
          <w:szCs w:val="22"/>
        </w:rPr>
        <w:t>%, Petróleo de Iluminação, redução em 0,</w:t>
      </w:r>
      <w:r w:rsidR="00206B41" w:rsidRPr="00206B41">
        <w:rPr>
          <w:rFonts w:ascii="Poppins" w:hAnsi="Poppins" w:cs="Poppins"/>
          <w:sz w:val="22"/>
          <w:szCs w:val="22"/>
        </w:rPr>
        <w:t>2</w:t>
      </w:r>
      <w:r w:rsidRPr="00206B41">
        <w:rPr>
          <w:rFonts w:ascii="Poppins" w:hAnsi="Poppins" w:cs="Poppins"/>
          <w:sz w:val="22"/>
          <w:szCs w:val="22"/>
        </w:rPr>
        <w:t xml:space="preserve">%, Gasóleo redução em </w:t>
      </w:r>
      <w:r w:rsidR="00206B41" w:rsidRPr="00206B41">
        <w:rPr>
          <w:rFonts w:ascii="Poppins" w:hAnsi="Poppins" w:cs="Poppins"/>
          <w:sz w:val="22"/>
          <w:szCs w:val="22"/>
        </w:rPr>
        <w:t>6</w:t>
      </w:r>
      <w:r w:rsidRPr="00206B41">
        <w:rPr>
          <w:rFonts w:ascii="Poppins" w:hAnsi="Poppins" w:cs="Poppins"/>
          <w:sz w:val="22"/>
          <w:szCs w:val="22"/>
        </w:rPr>
        <w:t>,</w:t>
      </w:r>
      <w:r w:rsidR="00206B41" w:rsidRPr="00206B41">
        <w:rPr>
          <w:rFonts w:ascii="Poppins" w:hAnsi="Poppins" w:cs="Poppins"/>
          <w:sz w:val="22"/>
          <w:szCs w:val="22"/>
        </w:rPr>
        <w:t>5</w:t>
      </w:r>
      <w:r w:rsidRPr="00206B41">
        <w:rPr>
          <w:rFonts w:ascii="Poppins" w:hAnsi="Poppins" w:cs="Poppins"/>
          <w:sz w:val="22"/>
          <w:szCs w:val="22"/>
        </w:rPr>
        <w:t>% e Gás de Cozinha, aumento em 2,</w:t>
      </w:r>
      <w:r w:rsidR="00206B41" w:rsidRPr="00206B41">
        <w:rPr>
          <w:rFonts w:ascii="Poppins" w:hAnsi="Poppins" w:cs="Poppins"/>
          <w:sz w:val="22"/>
          <w:szCs w:val="22"/>
        </w:rPr>
        <w:t>1</w:t>
      </w:r>
      <w:r w:rsidRPr="00206B41">
        <w:rPr>
          <w:rFonts w:ascii="Poppins" w:hAnsi="Poppins" w:cs="Poppins"/>
          <w:sz w:val="22"/>
          <w:szCs w:val="22"/>
        </w:rPr>
        <w:t>%.</w:t>
      </w:r>
    </w:p>
    <w:p w14:paraId="569328C3" w14:textId="77777777" w:rsidR="00CB1BB3" w:rsidRPr="00206B41" w:rsidRDefault="00CB1BB3" w:rsidP="00B31AA5">
      <w:pPr>
        <w:pStyle w:val="BodyText"/>
        <w:shd w:val="clear" w:color="auto" w:fill="FFFFFF" w:themeFill="background1"/>
        <w:spacing w:before="10" w:line="360" w:lineRule="auto"/>
        <w:rPr>
          <w:rFonts w:ascii="Poppins" w:hAnsi="Poppins" w:cs="Poppins"/>
          <w:sz w:val="2"/>
          <w:szCs w:val="2"/>
        </w:rPr>
      </w:pPr>
    </w:p>
    <w:p w14:paraId="668F96C8" w14:textId="35EEA61D" w:rsidR="00CB1BB3" w:rsidRPr="00206B41" w:rsidRDefault="00CB1BB3" w:rsidP="00B31AA5">
      <w:pPr>
        <w:shd w:val="clear" w:color="auto" w:fill="FFFFFF" w:themeFill="background1"/>
        <w:spacing w:line="360" w:lineRule="auto"/>
        <w:rPr>
          <w:rFonts w:ascii="Poppins" w:hAnsi="Poppins" w:cs="Poppins"/>
          <w:b/>
          <w:bCs/>
          <w:noProof/>
        </w:rPr>
      </w:pPr>
    </w:p>
    <w:p w14:paraId="2D985D9C" w14:textId="1F677344" w:rsidR="00CB1BB3" w:rsidRPr="00206B41" w:rsidRDefault="00B31AA5" w:rsidP="00B31AA5">
      <w:pPr>
        <w:shd w:val="clear" w:color="auto" w:fill="FFFFFF" w:themeFill="background1"/>
        <w:tabs>
          <w:tab w:val="left" w:pos="5627"/>
        </w:tabs>
        <w:spacing w:line="360" w:lineRule="auto"/>
        <w:rPr>
          <w:rFonts w:ascii="Poppins" w:hAnsi="Poppins" w:cs="Poppins"/>
        </w:rPr>
      </w:pPr>
      <w:r>
        <w:rPr>
          <w:rFonts w:ascii="Poppins" w:hAnsi="Poppins" w:cs="Poppins"/>
          <w:b/>
          <w:bCs/>
          <w:noProof/>
          <w:highlight w:val="yellow"/>
        </w:rPr>
        <w:drawing>
          <wp:anchor distT="0" distB="0" distL="114300" distR="114300" simplePos="0" relativeHeight="251658752" behindDoc="0" locked="0" layoutInCell="1" allowOverlap="1" wp14:anchorId="2FAE8CD3" wp14:editId="3300EF06">
            <wp:simplePos x="0" y="0"/>
            <wp:positionH relativeFrom="column">
              <wp:posOffset>-209550</wp:posOffset>
            </wp:positionH>
            <wp:positionV relativeFrom="paragraph">
              <wp:posOffset>374650</wp:posOffset>
            </wp:positionV>
            <wp:extent cx="6445885" cy="368300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885" cy="368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BB3" w:rsidRPr="00206B41">
        <w:rPr>
          <w:rFonts w:ascii="Poppins" w:hAnsi="Poppins" w:cs="Poppins"/>
        </w:rPr>
        <w:t>Gráfico 2 Evolução do Preço CIF USD/</w:t>
      </w:r>
      <w:proofErr w:type="spellStart"/>
      <w:r w:rsidR="00CB1BB3" w:rsidRPr="00206B41">
        <w:rPr>
          <w:rFonts w:ascii="Poppins" w:hAnsi="Poppins" w:cs="Poppins"/>
        </w:rPr>
        <w:t>bbl</w:t>
      </w:r>
      <w:proofErr w:type="spellEnd"/>
      <w:r w:rsidR="00CB1BB3" w:rsidRPr="00206B41">
        <w:rPr>
          <w:rFonts w:ascii="Poppins" w:hAnsi="Poppins" w:cs="Poppins"/>
        </w:rPr>
        <w:tab/>
      </w:r>
    </w:p>
    <w:p w14:paraId="1A44B198" w14:textId="24248652" w:rsidR="00CB1BB3" w:rsidRDefault="00CB1BB3" w:rsidP="00B31AA5">
      <w:pPr>
        <w:shd w:val="clear" w:color="auto" w:fill="FFFFFF" w:themeFill="background1"/>
        <w:tabs>
          <w:tab w:val="left" w:pos="5627"/>
        </w:tabs>
        <w:spacing w:line="360" w:lineRule="auto"/>
        <w:rPr>
          <w:rFonts w:ascii="Poppins" w:hAnsi="Poppins" w:cs="Poppins"/>
          <w:b/>
          <w:bCs/>
          <w:highlight w:val="yellow"/>
        </w:rPr>
      </w:pPr>
    </w:p>
    <w:p w14:paraId="7A2634DC" w14:textId="43E21B00" w:rsidR="00CB1BB3" w:rsidRDefault="00CB1BB3" w:rsidP="00B31AA5">
      <w:pPr>
        <w:shd w:val="clear" w:color="auto" w:fill="FFFFFF" w:themeFill="background1"/>
        <w:spacing w:line="360" w:lineRule="auto"/>
        <w:rPr>
          <w:rFonts w:ascii="Poppins" w:hAnsi="Poppins" w:cs="Poppins"/>
          <w:b/>
          <w:bCs/>
          <w:highlight w:val="yellow"/>
        </w:rPr>
      </w:pPr>
    </w:p>
    <w:p w14:paraId="5432A025" w14:textId="6D1D106B" w:rsidR="00B31AA5" w:rsidRDefault="00B31AA5" w:rsidP="00B31AA5">
      <w:pPr>
        <w:shd w:val="clear" w:color="auto" w:fill="FFFFFF" w:themeFill="background1"/>
        <w:spacing w:line="360" w:lineRule="auto"/>
        <w:rPr>
          <w:rFonts w:ascii="Poppins" w:hAnsi="Poppins" w:cs="Poppins"/>
          <w:b/>
          <w:bCs/>
          <w:highlight w:val="yellow"/>
        </w:rPr>
      </w:pPr>
    </w:p>
    <w:p w14:paraId="0F0BD6E7" w14:textId="54402379" w:rsidR="00B31AA5" w:rsidRDefault="00B31AA5" w:rsidP="00B31AA5">
      <w:pPr>
        <w:shd w:val="clear" w:color="auto" w:fill="FFFFFF" w:themeFill="background1"/>
        <w:spacing w:line="360" w:lineRule="auto"/>
        <w:rPr>
          <w:rFonts w:ascii="Poppins" w:hAnsi="Poppins" w:cs="Poppins"/>
          <w:b/>
          <w:bCs/>
          <w:highlight w:val="yellow"/>
        </w:rPr>
      </w:pPr>
    </w:p>
    <w:p w14:paraId="3B9DC4B4" w14:textId="018AD10F" w:rsidR="00B31AA5" w:rsidRDefault="00B31AA5" w:rsidP="00B31AA5">
      <w:pPr>
        <w:shd w:val="clear" w:color="auto" w:fill="FFFFFF" w:themeFill="background1"/>
        <w:spacing w:line="360" w:lineRule="auto"/>
        <w:rPr>
          <w:rFonts w:ascii="Poppins" w:hAnsi="Poppins" w:cs="Poppins"/>
          <w:b/>
          <w:bCs/>
          <w:highlight w:val="yellow"/>
        </w:rPr>
      </w:pPr>
    </w:p>
    <w:p w14:paraId="4582D7D5" w14:textId="77777777" w:rsidR="005A589B" w:rsidRDefault="005A589B" w:rsidP="00B31AA5">
      <w:pPr>
        <w:shd w:val="clear" w:color="auto" w:fill="FFFFFF" w:themeFill="background1"/>
        <w:spacing w:line="360" w:lineRule="auto"/>
        <w:rPr>
          <w:rFonts w:ascii="Poppins" w:hAnsi="Poppins" w:cs="Poppins"/>
          <w:b/>
          <w:bCs/>
          <w:highlight w:val="yellow"/>
        </w:rPr>
      </w:pPr>
    </w:p>
    <w:p w14:paraId="679766E9" w14:textId="77777777" w:rsidR="00B31AA5" w:rsidRPr="00CB1BB3" w:rsidRDefault="00B31AA5" w:rsidP="00B31AA5">
      <w:pPr>
        <w:shd w:val="clear" w:color="auto" w:fill="FFFFFF" w:themeFill="background1"/>
        <w:spacing w:line="360" w:lineRule="auto"/>
        <w:rPr>
          <w:rFonts w:ascii="Poppins" w:hAnsi="Poppins" w:cs="Poppins"/>
          <w:b/>
          <w:bCs/>
          <w:highlight w:val="yellow"/>
        </w:rPr>
      </w:pPr>
    </w:p>
    <w:p w14:paraId="494BF32D" w14:textId="75864745" w:rsidR="00CB1BB3" w:rsidRPr="00CB1BB3" w:rsidRDefault="00CB1BB3" w:rsidP="00B31AA5">
      <w:pPr>
        <w:pStyle w:val="BodyText"/>
        <w:spacing w:line="360" w:lineRule="auto"/>
        <w:rPr>
          <w:rFonts w:ascii="Poppins" w:hAnsi="Poppins" w:cs="Poppins"/>
          <w:sz w:val="22"/>
          <w:szCs w:val="22"/>
          <w:highlight w:val="yellow"/>
        </w:rPr>
      </w:pPr>
    </w:p>
    <w:p w14:paraId="01BCE675" w14:textId="175C7223" w:rsidR="00CB1BB3" w:rsidRPr="00206B41" w:rsidRDefault="00CB1BB3" w:rsidP="00B31AA5">
      <w:pPr>
        <w:pStyle w:val="Heading1"/>
        <w:numPr>
          <w:ilvl w:val="0"/>
          <w:numId w:val="1"/>
        </w:numPr>
        <w:shd w:val="clear" w:color="auto" w:fill="FFFFFF" w:themeFill="background1"/>
        <w:tabs>
          <w:tab w:val="left" w:pos="347"/>
        </w:tabs>
        <w:spacing w:before="10" w:line="360" w:lineRule="auto"/>
        <w:ind w:right="92" w:hanging="347"/>
      </w:pPr>
      <w:r w:rsidRPr="00206B41">
        <w:rPr>
          <w:rFonts w:ascii="Poppins" w:hAnsi="Poppins" w:cs="Poppins"/>
        </w:rPr>
        <w:t xml:space="preserve">Evolução das Quantidades descarregadas em </w:t>
      </w:r>
      <w:bookmarkStart w:id="2" w:name="_bookmark2"/>
      <w:bookmarkEnd w:id="2"/>
      <w:proofErr w:type="gramStart"/>
      <w:r w:rsidR="00B31AA5">
        <w:rPr>
          <w:rFonts w:ascii="Poppins" w:hAnsi="Poppins" w:cs="Poppins"/>
        </w:rPr>
        <w:t>Março</w:t>
      </w:r>
      <w:proofErr w:type="gramEnd"/>
      <w:r w:rsidRPr="00206B41">
        <w:rPr>
          <w:rFonts w:ascii="Poppins" w:hAnsi="Poppins" w:cs="Poppins"/>
        </w:rPr>
        <w:t xml:space="preserve"> - TM</w:t>
      </w:r>
      <w:r w:rsidRPr="00206B41">
        <w:rPr>
          <w:rStyle w:val="FootnoteReference"/>
          <w:rFonts w:ascii="Poppins" w:hAnsi="Poppins" w:cs="Poppins"/>
        </w:rPr>
        <w:footnoteReference w:id="2"/>
      </w:r>
    </w:p>
    <w:p w14:paraId="46E1D991" w14:textId="0D300961" w:rsidR="00CB1BB3" w:rsidRPr="00B31AA5" w:rsidRDefault="00CB1BB3" w:rsidP="00B31AA5">
      <w:pPr>
        <w:shd w:val="clear" w:color="auto" w:fill="FFFFFF" w:themeFill="background1"/>
        <w:spacing w:line="360" w:lineRule="auto"/>
        <w:ind w:left="-1"/>
        <w:rPr>
          <w:rFonts w:ascii="Poppins" w:hAnsi="Poppins" w:cs="Poppins"/>
        </w:rPr>
      </w:pPr>
      <w:r w:rsidRPr="00B31AA5">
        <w:rPr>
          <w:rFonts w:ascii="Poppins" w:hAnsi="Poppins" w:cs="Poppins"/>
        </w:rPr>
        <w:t xml:space="preserve">Gráfico 3 Evolução das Quantidades descarregadas em </w:t>
      </w:r>
      <w:proofErr w:type="gramStart"/>
      <w:r w:rsidR="00B31AA5">
        <w:rPr>
          <w:rFonts w:ascii="Poppins" w:hAnsi="Poppins" w:cs="Poppins"/>
        </w:rPr>
        <w:t>Março</w:t>
      </w:r>
      <w:proofErr w:type="gramEnd"/>
      <w:r w:rsidRPr="00B31AA5">
        <w:rPr>
          <w:rFonts w:ascii="Poppins" w:hAnsi="Poppins" w:cs="Poppins"/>
        </w:rPr>
        <w:t xml:space="preserve"> Toneladas Métricas</w:t>
      </w:r>
    </w:p>
    <w:p w14:paraId="6E3CBF76" w14:textId="31AFF17D" w:rsidR="00CB1BB3" w:rsidRPr="00206B41" w:rsidRDefault="00B31AA5" w:rsidP="00B31AA5">
      <w:pPr>
        <w:shd w:val="clear" w:color="auto" w:fill="FFFFFF" w:themeFill="background1"/>
        <w:spacing w:line="360" w:lineRule="auto"/>
        <w:ind w:left="-1"/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  <w:noProof/>
        </w:rPr>
        <w:drawing>
          <wp:inline distT="0" distB="0" distL="0" distR="0" wp14:anchorId="613FEBD0" wp14:editId="15E9495B">
            <wp:extent cx="5718810" cy="408495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4084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B59235" w14:textId="6E2F8D98" w:rsidR="00CB1BB3" w:rsidRPr="00206B41" w:rsidRDefault="00CB1BB3" w:rsidP="00B31AA5">
      <w:pPr>
        <w:shd w:val="clear" w:color="auto" w:fill="FFFFFF" w:themeFill="background1"/>
        <w:tabs>
          <w:tab w:val="num" w:pos="720"/>
        </w:tabs>
        <w:spacing w:line="360" w:lineRule="auto"/>
        <w:jc w:val="both"/>
        <w:rPr>
          <w:rFonts w:ascii="Poppins" w:hAnsi="Poppins" w:cs="Poppins"/>
        </w:rPr>
      </w:pPr>
      <w:r w:rsidRPr="00206B41">
        <w:rPr>
          <w:rFonts w:ascii="Poppins" w:hAnsi="Poppins" w:cs="Poppins"/>
        </w:rPr>
        <w:t xml:space="preserve">As quantidades descarregadas em </w:t>
      </w:r>
      <w:proofErr w:type="gramStart"/>
      <w:r w:rsidR="00B31AA5">
        <w:rPr>
          <w:rFonts w:ascii="Poppins" w:hAnsi="Poppins" w:cs="Poppins"/>
        </w:rPr>
        <w:t>Março</w:t>
      </w:r>
      <w:proofErr w:type="gramEnd"/>
      <w:r w:rsidRPr="00206B41">
        <w:rPr>
          <w:rFonts w:ascii="Poppins" w:hAnsi="Poppins" w:cs="Poppins"/>
        </w:rPr>
        <w:t xml:space="preserve"> 2023 registaram os seguintes resultados em relação as quantidades do mês anterior, </w:t>
      </w:r>
      <w:r w:rsidR="00B31AA5">
        <w:rPr>
          <w:rFonts w:ascii="Poppins" w:hAnsi="Poppins" w:cs="Poppins"/>
        </w:rPr>
        <w:t>Fevereiro de</w:t>
      </w:r>
      <w:r w:rsidRPr="00206B41">
        <w:rPr>
          <w:rFonts w:ascii="Poppins" w:hAnsi="Poppins" w:cs="Poppins"/>
        </w:rPr>
        <w:t xml:space="preserve"> 2023: Gasolina, aumento em </w:t>
      </w:r>
      <w:r w:rsidR="00B31AA5">
        <w:rPr>
          <w:rFonts w:ascii="Poppins" w:hAnsi="Poppins" w:cs="Poppins"/>
        </w:rPr>
        <w:t>0,9</w:t>
      </w:r>
      <w:r w:rsidRPr="00206B41">
        <w:rPr>
          <w:rFonts w:ascii="Poppins" w:hAnsi="Poppins" w:cs="Poppins"/>
        </w:rPr>
        <w:t xml:space="preserve">%; JET A1 – Petróleo de Iluminação, </w:t>
      </w:r>
      <w:r w:rsidR="00B31AA5">
        <w:rPr>
          <w:rFonts w:ascii="Poppins" w:hAnsi="Poppins" w:cs="Poppins"/>
        </w:rPr>
        <w:t>aumento</w:t>
      </w:r>
      <w:r w:rsidRPr="00206B41">
        <w:rPr>
          <w:rFonts w:ascii="Poppins" w:hAnsi="Poppins" w:cs="Poppins"/>
        </w:rPr>
        <w:t xml:space="preserve"> em </w:t>
      </w:r>
      <w:r w:rsidR="00B31AA5">
        <w:rPr>
          <w:rFonts w:ascii="Poppins" w:hAnsi="Poppins" w:cs="Poppins"/>
        </w:rPr>
        <w:t>309,0</w:t>
      </w:r>
      <w:r w:rsidRPr="00206B41">
        <w:rPr>
          <w:rFonts w:ascii="Poppins" w:hAnsi="Poppins" w:cs="Poppins"/>
        </w:rPr>
        <w:t xml:space="preserve">%; Gasóleo, </w:t>
      </w:r>
      <w:r w:rsidR="00B31AA5">
        <w:rPr>
          <w:rFonts w:ascii="Poppins" w:hAnsi="Poppins" w:cs="Poppins"/>
        </w:rPr>
        <w:t>redução</w:t>
      </w:r>
      <w:r w:rsidRPr="00206B41">
        <w:rPr>
          <w:rFonts w:ascii="Poppins" w:hAnsi="Poppins" w:cs="Poppins"/>
        </w:rPr>
        <w:t xml:space="preserve"> em 3</w:t>
      </w:r>
      <w:r w:rsidR="00B31AA5">
        <w:rPr>
          <w:rFonts w:ascii="Poppins" w:hAnsi="Poppins" w:cs="Poppins"/>
        </w:rPr>
        <w:t>8,3</w:t>
      </w:r>
      <w:r w:rsidRPr="00206B41">
        <w:rPr>
          <w:rFonts w:ascii="Poppins" w:hAnsi="Poppins" w:cs="Poppins"/>
        </w:rPr>
        <w:t xml:space="preserve">%; e Gás de Cozinha – GPL, </w:t>
      </w:r>
      <w:r w:rsidR="00B31AA5">
        <w:rPr>
          <w:rFonts w:ascii="Poppins" w:hAnsi="Poppins" w:cs="Poppins"/>
        </w:rPr>
        <w:t>redução</w:t>
      </w:r>
      <w:r w:rsidRPr="00206B41">
        <w:rPr>
          <w:rFonts w:ascii="Poppins" w:hAnsi="Poppins" w:cs="Poppins"/>
        </w:rPr>
        <w:t xml:space="preserve"> em </w:t>
      </w:r>
      <w:r w:rsidR="00B31AA5">
        <w:rPr>
          <w:rFonts w:ascii="Poppins" w:hAnsi="Poppins" w:cs="Poppins"/>
        </w:rPr>
        <w:t>2,9</w:t>
      </w:r>
      <w:r w:rsidRPr="00206B41">
        <w:rPr>
          <w:rFonts w:ascii="Poppins" w:hAnsi="Poppins" w:cs="Poppins"/>
        </w:rPr>
        <w:t>%.</w:t>
      </w:r>
    </w:p>
    <w:p w14:paraId="0DB6E7FA" w14:textId="77777777" w:rsidR="00CB1BB3" w:rsidRPr="00CB1BB3" w:rsidRDefault="00CB1BB3" w:rsidP="00B31AA5">
      <w:pPr>
        <w:spacing w:line="360" w:lineRule="auto"/>
        <w:jc w:val="both"/>
        <w:rPr>
          <w:rFonts w:ascii="Poppins" w:hAnsi="Poppins" w:cs="Poppins"/>
          <w:highlight w:val="yellow"/>
        </w:rPr>
      </w:pPr>
    </w:p>
    <w:p w14:paraId="3CEE2ACD" w14:textId="77777777" w:rsidR="00CB1BB3" w:rsidRPr="00B31AA5" w:rsidRDefault="00CB1BB3" w:rsidP="00B31AA5">
      <w:pPr>
        <w:pStyle w:val="Heading1"/>
        <w:numPr>
          <w:ilvl w:val="0"/>
          <w:numId w:val="1"/>
        </w:numPr>
        <w:tabs>
          <w:tab w:val="left" w:pos="347"/>
        </w:tabs>
        <w:spacing w:before="10" w:line="360" w:lineRule="auto"/>
        <w:ind w:right="92" w:hanging="347"/>
        <w:rPr>
          <w:rFonts w:ascii="Poppins" w:hAnsi="Poppins" w:cs="Poppins"/>
        </w:rPr>
      </w:pPr>
      <w:r w:rsidRPr="00B31AA5">
        <w:rPr>
          <w:rFonts w:ascii="Poppins" w:hAnsi="Poppins" w:cs="Poppins"/>
        </w:rPr>
        <w:t>Evolução do câmbio USD/MZN</w:t>
      </w:r>
    </w:p>
    <w:p w14:paraId="7321182A" w14:textId="263EFD2D" w:rsidR="00CB1BB3" w:rsidRPr="00B31AA5" w:rsidRDefault="00CB1BB3" w:rsidP="00B31AA5">
      <w:pPr>
        <w:pStyle w:val="BodyText"/>
        <w:spacing w:before="1" w:line="360" w:lineRule="auto"/>
        <w:ind w:right="107"/>
        <w:jc w:val="both"/>
        <w:rPr>
          <w:rFonts w:ascii="Poppins" w:hAnsi="Poppins" w:cs="Poppins"/>
          <w:sz w:val="22"/>
          <w:szCs w:val="22"/>
        </w:rPr>
      </w:pPr>
      <w:r w:rsidRPr="00B31AA5">
        <w:rPr>
          <w:rFonts w:ascii="Poppins" w:hAnsi="Poppins" w:cs="Poppins"/>
          <w:sz w:val="22"/>
          <w:szCs w:val="22"/>
        </w:rPr>
        <w:t xml:space="preserve">A Taxa de Câmbio USD/MZN usada nas transações de importação de Produtos Petrolíferos descarregadas em </w:t>
      </w:r>
      <w:r w:rsidR="00B31AA5" w:rsidRPr="00B31AA5">
        <w:rPr>
          <w:rFonts w:ascii="Poppins" w:hAnsi="Poppins" w:cs="Poppins"/>
          <w:sz w:val="22"/>
          <w:szCs w:val="22"/>
        </w:rPr>
        <w:t>Março</w:t>
      </w:r>
      <w:r w:rsidRPr="00B31AA5">
        <w:rPr>
          <w:rFonts w:ascii="Poppins" w:hAnsi="Poppins" w:cs="Poppins"/>
          <w:sz w:val="22"/>
          <w:szCs w:val="22"/>
        </w:rPr>
        <w:t xml:space="preserve"> de </w:t>
      </w:r>
      <w:proofErr w:type="gramStart"/>
      <w:r w:rsidRPr="00B31AA5">
        <w:rPr>
          <w:rFonts w:ascii="Poppins" w:hAnsi="Poppins" w:cs="Poppins"/>
          <w:sz w:val="22"/>
          <w:szCs w:val="22"/>
        </w:rPr>
        <w:t xml:space="preserve">2023, </w:t>
      </w:r>
      <w:r w:rsidR="00B31AA5" w:rsidRPr="00B31AA5">
        <w:rPr>
          <w:rFonts w:ascii="Poppins" w:hAnsi="Poppins" w:cs="Poppins"/>
          <w:sz w:val="22"/>
          <w:szCs w:val="22"/>
        </w:rPr>
        <w:t xml:space="preserve"> mantiveram</w:t>
      </w:r>
      <w:proofErr w:type="gramEnd"/>
      <w:r w:rsidR="00B31AA5" w:rsidRPr="00B31AA5">
        <w:rPr>
          <w:rFonts w:ascii="Poppins" w:hAnsi="Poppins" w:cs="Poppins"/>
          <w:sz w:val="22"/>
          <w:szCs w:val="22"/>
        </w:rPr>
        <w:t xml:space="preserve"> os mesmos valores registados no mês anterior, isto é, </w:t>
      </w:r>
      <w:r w:rsidRPr="00B31AA5">
        <w:rPr>
          <w:rFonts w:ascii="Poppins" w:hAnsi="Poppins" w:cs="Poppins"/>
          <w:sz w:val="22"/>
          <w:szCs w:val="22"/>
        </w:rPr>
        <w:t>a taxa de cambio não registou nenhuma variação.</w:t>
      </w:r>
    </w:p>
    <w:p w14:paraId="57A8F047" w14:textId="77777777" w:rsidR="00CB1BB3" w:rsidRPr="00B31AA5" w:rsidRDefault="00CB1BB3" w:rsidP="00B31AA5">
      <w:pPr>
        <w:pStyle w:val="BodyText"/>
        <w:spacing w:before="1" w:line="360" w:lineRule="auto"/>
        <w:ind w:right="107"/>
        <w:jc w:val="both"/>
        <w:rPr>
          <w:rFonts w:ascii="Poppins" w:hAnsi="Poppins" w:cs="Poppins"/>
        </w:rPr>
      </w:pPr>
      <w:r w:rsidRPr="00B31AA5">
        <w:rPr>
          <w:rFonts w:ascii="Poppins" w:hAnsi="Poppins" w:cs="Poppins"/>
          <w:sz w:val="22"/>
          <w:szCs w:val="22"/>
        </w:rPr>
        <w:t>Tanto para o Gás de Cozinha – GPL assim como para os restantes produtos a Taxa de Cambio foi de 64.51 MZN/USD.</w:t>
      </w:r>
    </w:p>
    <w:p w14:paraId="0716B8BA" w14:textId="77777777" w:rsidR="00CB1BB3" w:rsidRPr="00B31AA5" w:rsidRDefault="00CB1BB3" w:rsidP="00B31AA5">
      <w:pPr>
        <w:pStyle w:val="BodyText"/>
        <w:spacing w:before="1" w:line="360" w:lineRule="auto"/>
        <w:ind w:right="107"/>
        <w:jc w:val="both"/>
        <w:rPr>
          <w:rFonts w:ascii="Poppins" w:hAnsi="Poppins" w:cs="Poppins"/>
          <w:b/>
          <w:bCs/>
          <w:sz w:val="22"/>
          <w:szCs w:val="22"/>
        </w:rPr>
      </w:pPr>
    </w:p>
    <w:p w14:paraId="13F0C092" w14:textId="77777777" w:rsidR="00CB1BB3" w:rsidRPr="005A589B" w:rsidRDefault="00CB1BB3" w:rsidP="00B31AA5">
      <w:pPr>
        <w:pStyle w:val="BodyText"/>
        <w:spacing w:before="1" w:line="360" w:lineRule="auto"/>
        <w:ind w:right="107"/>
        <w:jc w:val="both"/>
        <w:rPr>
          <w:rFonts w:ascii="Poppins" w:hAnsi="Poppins" w:cs="Poppins"/>
          <w:sz w:val="22"/>
          <w:szCs w:val="22"/>
        </w:rPr>
      </w:pPr>
      <w:r w:rsidRPr="005A589B">
        <w:rPr>
          <w:rFonts w:ascii="Poppins" w:hAnsi="Poppins" w:cs="Poppins"/>
          <w:sz w:val="22"/>
          <w:szCs w:val="22"/>
        </w:rPr>
        <w:t>Gráfico 4 Evolução da Taxa de Câmbio USD/MZN</w:t>
      </w:r>
    </w:p>
    <w:p w14:paraId="16185A23" w14:textId="33A309F3" w:rsidR="00CB1BB3" w:rsidRPr="00B31AA5" w:rsidRDefault="005A589B" w:rsidP="00B31AA5">
      <w:pPr>
        <w:spacing w:before="122" w:line="360" w:lineRule="auto"/>
        <w:ind w:left="646"/>
        <w:jc w:val="both"/>
        <w:rPr>
          <w:rFonts w:ascii="Poppins" w:hAnsi="Poppins" w:cs="Poppins"/>
          <w:i/>
          <w:sz w:val="20"/>
        </w:rPr>
      </w:pPr>
      <w:r>
        <w:rPr>
          <w:rFonts w:ascii="Poppins" w:hAnsi="Poppins" w:cs="Poppins"/>
          <w:i/>
          <w:noProof/>
          <w:sz w:val="20"/>
        </w:rPr>
        <w:drawing>
          <wp:inline distT="0" distB="0" distL="0" distR="0" wp14:anchorId="529C0A70" wp14:editId="1E51652C">
            <wp:extent cx="5474970" cy="2755900"/>
            <wp:effectExtent l="0" t="0" r="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46B3ED" w14:textId="77777777" w:rsidR="00CB1BB3" w:rsidRPr="00B31AA5" w:rsidRDefault="00CB1BB3" w:rsidP="00B31AA5">
      <w:pPr>
        <w:pStyle w:val="BodyText"/>
        <w:spacing w:line="360" w:lineRule="auto"/>
        <w:ind w:right="108"/>
        <w:jc w:val="both"/>
        <w:rPr>
          <w:rFonts w:ascii="Poppins" w:hAnsi="Poppins" w:cs="Poppins"/>
        </w:rPr>
      </w:pPr>
      <w:r w:rsidRPr="00B31AA5">
        <w:rPr>
          <w:rFonts w:ascii="Poppins" w:hAnsi="Poppins" w:cs="Poppins"/>
        </w:rPr>
        <w:t>Esta evolução do câmbio tende a</w:t>
      </w:r>
      <w:r w:rsidRPr="00B31AA5">
        <w:rPr>
          <w:rFonts w:ascii="Poppins" w:hAnsi="Poppins" w:cs="Poppins"/>
          <w:spacing w:val="1"/>
        </w:rPr>
        <w:t xml:space="preserve"> </w:t>
      </w:r>
      <w:r w:rsidRPr="00B31AA5">
        <w:rPr>
          <w:rFonts w:ascii="Poppins" w:hAnsi="Poppins" w:cs="Poppins"/>
        </w:rPr>
        <w:t>aumentar os preços dos produtos petrolíferos no mercado interno, já que a compra dos</w:t>
      </w:r>
      <w:r w:rsidRPr="00B31AA5">
        <w:rPr>
          <w:rFonts w:ascii="Poppins" w:hAnsi="Poppins" w:cs="Poppins"/>
          <w:spacing w:val="1"/>
        </w:rPr>
        <w:t xml:space="preserve"> </w:t>
      </w:r>
      <w:r w:rsidRPr="00B31AA5">
        <w:rPr>
          <w:rFonts w:ascii="Poppins" w:hAnsi="Poppins" w:cs="Poppins"/>
        </w:rPr>
        <w:t>derivados</w:t>
      </w:r>
      <w:r w:rsidRPr="00B31AA5">
        <w:rPr>
          <w:rFonts w:ascii="Poppins" w:hAnsi="Poppins" w:cs="Poppins"/>
          <w:spacing w:val="-1"/>
        </w:rPr>
        <w:t xml:space="preserve"> </w:t>
      </w:r>
      <w:r w:rsidRPr="00B31AA5">
        <w:rPr>
          <w:rFonts w:ascii="Poppins" w:hAnsi="Poppins" w:cs="Poppins"/>
        </w:rPr>
        <w:t>de petróleo</w:t>
      </w:r>
      <w:r w:rsidRPr="00B31AA5">
        <w:rPr>
          <w:rFonts w:ascii="Poppins" w:hAnsi="Poppins" w:cs="Poppins"/>
          <w:spacing w:val="-1"/>
        </w:rPr>
        <w:t xml:space="preserve"> </w:t>
      </w:r>
      <w:r w:rsidRPr="00B31AA5">
        <w:rPr>
          <w:rFonts w:ascii="Poppins" w:hAnsi="Poppins" w:cs="Poppins"/>
        </w:rPr>
        <w:t>no mercado internacional</w:t>
      </w:r>
      <w:r w:rsidRPr="00B31AA5">
        <w:rPr>
          <w:rFonts w:ascii="Poppins" w:hAnsi="Poppins" w:cs="Poppins"/>
          <w:spacing w:val="-1"/>
        </w:rPr>
        <w:t xml:space="preserve"> </w:t>
      </w:r>
      <w:r w:rsidRPr="00B31AA5">
        <w:rPr>
          <w:rFonts w:ascii="Poppins" w:hAnsi="Poppins" w:cs="Poppins"/>
        </w:rPr>
        <w:t>é feita</w:t>
      </w:r>
      <w:r w:rsidRPr="00B31AA5">
        <w:rPr>
          <w:rFonts w:ascii="Poppins" w:hAnsi="Poppins" w:cs="Poppins"/>
          <w:spacing w:val="-2"/>
        </w:rPr>
        <w:t xml:space="preserve"> </w:t>
      </w:r>
      <w:r w:rsidRPr="00B31AA5">
        <w:rPr>
          <w:rFonts w:ascii="Poppins" w:hAnsi="Poppins" w:cs="Poppins"/>
        </w:rPr>
        <w:t>em</w:t>
      </w:r>
      <w:r w:rsidRPr="00B31AA5">
        <w:rPr>
          <w:rFonts w:ascii="Poppins" w:hAnsi="Poppins" w:cs="Poppins"/>
          <w:spacing w:val="-1"/>
        </w:rPr>
        <w:t xml:space="preserve"> </w:t>
      </w:r>
      <w:r w:rsidRPr="00B31AA5">
        <w:rPr>
          <w:rFonts w:ascii="Poppins" w:hAnsi="Poppins" w:cs="Poppins"/>
        </w:rPr>
        <w:t>dólares.</w:t>
      </w:r>
    </w:p>
    <w:p w14:paraId="16716251" w14:textId="77777777" w:rsidR="00CB1BB3" w:rsidRPr="00CB1BB3" w:rsidRDefault="00CB1BB3" w:rsidP="00B31AA5">
      <w:pPr>
        <w:pStyle w:val="BodyText"/>
        <w:spacing w:line="360" w:lineRule="auto"/>
        <w:ind w:right="108"/>
        <w:jc w:val="both"/>
        <w:rPr>
          <w:rFonts w:ascii="Poppins" w:hAnsi="Poppins" w:cs="Poppins"/>
          <w:highlight w:val="yellow"/>
        </w:rPr>
      </w:pPr>
    </w:p>
    <w:p w14:paraId="16D58163" w14:textId="77777777" w:rsidR="00CB1BB3" w:rsidRPr="00CB1BB3" w:rsidRDefault="00CB1BB3" w:rsidP="00B31AA5">
      <w:pPr>
        <w:pStyle w:val="BodyText"/>
        <w:spacing w:line="360" w:lineRule="auto"/>
        <w:ind w:left="118" w:right="108"/>
        <w:jc w:val="both"/>
        <w:rPr>
          <w:rFonts w:ascii="Poppins" w:hAnsi="Poppins" w:cs="Poppins"/>
          <w:sz w:val="10"/>
          <w:szCs w:val="10"/>
          <w:highlight w:val="yellow"/>
        </w:rPr>
      </w:pPr>
    </w:p>
    <w:p w14:paraId="17D18324" w14:textId="77777777" w:rsidR="00CB1BB3" w:rsidRPr="00B31AA5" w:rsidRDefault="00CB1BB3" w:rsidP="00B31AA5">
      <w:pPr>
        <w:pStyle w:val="Heading1"/>
        <w:numPr>
          <w:ilvl w:val="0"/>
          <w:numId w:val="1"/>
        </w:numPr>
        <w:tabs>
          <w:tab w:val="left" w:pos="347"/>
        </w:tabs>
        <w:spacing w:before="10" w:line="360" w:lineRule="auto"/>
        <w:ind w:right="92" w:hanging="347"/>
        <w:rPr>
          <w:rFonts w:ascii="Poppins" w:hAnsi="Poppins" w:cs="Poppins"/>
        </w:rPr>
      </w:pPr>
      <w:r w:rsidRPr="00B31AA5">
        <w:rPr>
          <w:rFonts w:ascii="Poppins" w:hAnsi="Poppins" w:cs="Poppins"/>
        </w:rPr>
        <w:t xml:space="preserve">Legislação aprovada com impacto nos Preços </w:t>
      </w:r>
    </w:p>
    <w:p w14:paraId="5BA0BD30" w14:textId="77777777" w:rsidR="00CB1BB3" w:rsidRPr="00B31AA5" w:rsidRDefault="00CB1BB3" w:rsidP="00B31AA5">
      <w:pPr>
        <w:pStyle w:val="BodyText"/>
        <w:spacing w:line="360" w:lineRule="auto"/>
        <w:ind w:right="108"/>
        <w:jc w:val="both"/>
        <w:rPr>
          <w:rFonts w:ascii="Poppins" w:hAnsi="Poppins" w:cs="Poppins"/>
        </w:rPr>
      </w:pPr>
      <w:r w:rsidRPr="00B31AA5">
        <w:rPr>
          <w:rFonts w:ascii="Poppins" w:hAnsi="Poppins" w:cs="Poppins"/>
        </w:rPr>
        <w:t xml:space="preserve">Desde o mês de </w:t>
      </w:r>
      <w:proofErr w:type="gramStart"/>
      <w:r w:rsidRPr="00B31AA5">
        <w:rPr>
          <w:rFonts w:ascii="Poppins" w:hAnsi="Poppins" w:cs="Poppins"/>
        </w:rPr>
        <w:t>Janeiro</w:t>
      </w:r>
      <w:proofErr w:type="gramEnd"/>
      <w:r w:rsidRPr="00B31AA5">
        <w:rPr>
          <w:rFonts w:ascii="Poppins" w:hAnsi="Poppins" w:cs="Poppins"/>
        </w:rPr>
        <w:t xml:space="preserve"> de 2023 o processo de calculo dos preços dos produtos petrolíferos tem estado a considerar:</w:t>
      </w:r>
    </w:p>
    <w:p w14:paraId="4086D4B9" w14:textId="77777777" w:rsidR="00CB1BB3" w:rsidRPr="00B31AA5" w:rsidRDefault="00CB1BB3" w:rsidP="00B31AA5">
      <w:pPr>
        <w:pStyle w:val="BodyText"/>
        <w:numPr>
          <w:ilvl w:val="0"/>
          <w:numId w:val="7"/>
        </w:numPr>
        <w:spacing w:line="360" w:lineRule="auto"/>
        <w:ind w:right="108"/>
        <w:jc w:val="both"/>
        <w:rPr>
          <w:rFonts w:ascii="Poppins" w:hAnsi="Poppins" w:cs="Poppins"/>
        </w:rPr>
      </w:pPr>
      <w:r w:rsidRPr="00B31AA5">
        <w:rPr>
          <w:rFonts w:ascii="Poppins" w:hAnsi="Poppins" w:cs="Poppins"/>
        </w:rPr>
        <w:t xml:space="preserve">A Lei n.º 22/2022, de 28 de </w:t>
      </w:r>
      <w:proofErr w:type="gramStart"/>
      <w:r w:rsidRPr="00B31AA5">
        <w:rPr>
          <w:rFonts w:ascii="Poppins" w:hAnsi="Poppins" w:cs="Poppins"/>
        </w:rPr>
        <w:t>Dezembro</w:t>
      </w:r>
      <w:proofErr w:type="gramEnd"/>
      <w:r w:rsidRPr="00B31AA5">
        <w:rPr>
          <w:rFonts w:ascii="Poppins" w:hAnsi="Poppins" w:cs="Poppins"/>
        </w:rPr>
        <w:t>, que altera os artigos 9, 10, 12, 15, 17, 19, 20 e 21 do Código do Imposto Sobre o Valor Acrescentado; e</w:t>
      </w:r>
    </w:p>
    <w:p w14:paraId="0F9B8178" w14:textId="77777777" w:rsidR="00CB1BB3" w:rsidRPr="00B31AA5" w:rsidRDefault="00CB1BB3" w:rsidP="00B31AA5">
      <w:pPr>
        <w:pStyle w:val="BodyText"/>
        <w:numPr>
          <w:ilvl w:val="0"/>
          <w:numId w:val="7"/>
        </w:numPr>
        <w:spacing w:line="360" w:lineRule="auto"/>
        <w:ind w:right="108"/>
        <w:jc w:val="both"/>
        <w:rPr>
          <w:rFonts w:ascii="Poppins" w:hAnsi="Poppins" w:cs="Poppins"/>
        </w:rPr>
      </w:pPr>
      <w:r w:rsidRPr="00B31AA5">
        <w:rPr>
          <w:rFonts w:ascii="Poppins" w:hAnsi="Poppins" w:cs="Poppins"/>
        </w:rPr>
        <w:t xml:space="preserve">A Lei n.º 19/2022, de 29 de </w:t>
      </w:r>
      <w:proofErr w:type="gramStart"/>
      <w:r w:rsidRPr="00B31AA5">
        <w:rPr>
          <w:rFonts w:ascii="Poppins" w:hAnsi="Poppins" w:cs="Poppins"/>
        </w:rPr>
        <w:t>Dezembro</w:t>
      </w:r>
      <w:proofErr w:type="gramEnd"/>
      <w:r w:rsidRPr="00B31AA5">
        <w:rPr>
          <w:rFonts w:ascii="Poppins" w:hAnsi="Poppins" w:cs="Poppins"/>
        </w:rPr>
        <w:t xml:space="preserve">, que aprova o Código do Imposto sobre Consumos Específicos - Transforma a </w:t>
      </w:r>
      <w:proofErr w:type="spellStart"/>
      <w:r w:rsidRPr="00B31AA5">
        <w:rPr>
          <w:rFonts w:ascii="Poppins" w:hAnsi="Poppins" w:cs="Poppins"/>
        </w:rPr>
        <w:t>TsC</w:t>
      </w:r>
      <w:proofErr w:type="spellEnd"/>
      <w:r w:rsidRPr="00B31AA5">
        <w:rPr>
          <w:rFonts w:ascii="Poppins" w:hAnsi="Poppins" w:cs="Poppins"/>
        </w:rPr>
        <w:t xml:space="preserve"> em ICE e fixa os </w:t>
      </w:r>
      <w:proofErr w:type="spellStart"/>
      <w:r w:rsidRPr="00B31AA5">
        <w:rPr>
          <w:rFonts w:ascii="Poppins" w:hAnsi="Poppins" w:cs="Poppins"/>
        </w:rPr>
        <w:t>respectivos</w:t>
      </w:r>
      <w:proofErr w:type="spellEnd"/>
      <w:r w:rsidRPr="00B31AA5">
        <w:rPr>
          <w:rFonts w:ascii="Poppins" w:hAnsi="Poppins" w:cs="Poppins"/>
        </w:rPr>
        <w:t xml:space="preserve"> valores.</w:t>
      </w:r>
    </w:p>
    <w:p w14:paraId="5BC29E47" w14:textId="77777777" w:rsidR="00CB1BB3" w:rsidRPr="00B31AA5" w:rsidRDefault="00CB1BB3" w:rsidP="00B31AA5">
      <w:pPr>
        <w:pStyle w:val="BodyText"/>
        <w:spacing w:line="360" w:lineRule="auto"/>
        <w:ind w:left="720" w:right="108"/>
        <w:jc w:val="both"/>
        <w:rPr>
          <w:rFonts w:ascii="Poppins" w:hAnsi="Poppins" w:cs="Poppins"/>
        </w:rPr>
      </w:pPr>
    </w:p>
    <w:p w14:paraId="543EE0C9" w14:textId="77777777" w:rsidR="00CB1BB3" w:rsidRPr="00903D6C" w:rsidRDefault="00CB1BB3" w:rsidP="00B31AA5">
      <w:pPr>
        <w:pStyle w:val="BodyText"/>
        <w:spacing w:line="360" w:lineRule="auto"/>
        <w:ind w:right="108"/>
        <w:jc w:val="both"/>
        <w:rPr>
          <w:rFonts w:ascii="Poppins" w:hAnsi="Poppins" w:cs="Poppins"/>
          <w:b/>
          <w:bCs/>
        </w:rPr>
      </w:pPr>
      <w:r w:rsidRPr="00B31AA5">
        <w:rPr>
          <w:rFonts w:ascii="Poppins" w:hAnsi="Poppins" w:cs="Poppins"/>
          <w:b/>
          <w:bCs/>
        </w:rPr>
        <w:t xml:space="preserve">Apesar disso os preços praticados </w:t>
      </w:r>
      <w:proofErr w:type="spellStart"/>
      <w:r w:rsidRPr="00B31AA5">
        <w:rPr>
          <w:rFonts w:ascii="Poppins" w:hAnsi="Poppins" w:cs="Poppins"/>
          <w:b/>
          <w:bCs/>
        </w:rPr>
        <w:t>actualmente</w:t>
      </w:r>
      <w:proofErr w:type="spellEnd"/>
      <w:r w:rsidRPr="00B31AA5">
        <w:rPr>
          <w:rFonts w:ascii="Poppins" w:hAnsi="Poppins" w:cs="Poppins"/>
          <w:b/>
          <w:bCs/>
        </w:rPr>
        <w:t xml:space="preserve"> em Moçambique continuam abaixo dos preços reais.</w:t>
      </w:r>
      <w:r w:rsidRPr="00903D6C">
        <w:rPr>
          <w:rFonts w:ascii="Poppins" w:hAnsi="Poppins" w:cs="Poppins"/>
          <w:b/>
          <w:bCs/>
        </w:rPr>
        <w:t xml:space="preserve"> </w:t>
      </w:r>
    </w:p>
    <w:p w14:paraId="7C9A5172" w14:textId="77777777" w:rsidR="00CC0FC9" w:rsidRPr="00A814FC" w:rsidRDefault="00CC0FC9" w:rsidP="00B31AA5">
      <w:pPr>
        <w:pStyle w:val="BodyText"/>
        <w:spacing w:line="360" w:lineRule="auto"/>
        <w:ind w:left="118" w:right="108"/>
        <w:jc w:val="both"/>
        <w:rPr>
          <w:rFonts w:ascii="Poppins" w:hAnsi="Poppins" w:cs="Poppins"/>
        </w:rPr>
      </w:pPr>
    </w:p>
    <w:sectPr w:rsidR="00CC0FC9" w:rsidRPr="00A814FC" w:rsidSect="009F5D3B">
      <w:headerReference w:type="default" r:id="rId15"/>
      <w:footerReference w:type="default" r:id="rId16"/>
      <w:pgSz w:w="11910" w:h="16840"/>
      <w:pgMar w:top="1580" w:right="1020" w:bottom="567" w:left="1300" w:header="648" w:footer="3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D2C3C" w14:textId="77777777" w:rsidR="00736A28" w:rsidRDefault="00736A28">
      <w:r>
        <w:separator/>
      </w:r>
    </w:p>
  </w:endnote>
  <w:endnote w:type="continuationSeparator" w:id="0">
    <w:p w14:paraId="000ABB6A" w14:textId="77777777" w:rsidR="00736A28" w:rsidRDefault="0073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CC393" w14:textId="1CE6AE3F" w:rsidR="00084AEB" w:rsidRDefault="005A589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DE95429" wp14:editId="4A3CE33E">
              <wp:simplePos x="0" y="0"/>
              <wp:positionH relativeFrom="page">
                <wp:posOffset>2972435</wp:posOffset>
              </wp:positionH>
              <wp:positionV relativeFrom="page">
                <wp:posOffset>10161270</wp:posOffset>
              </wp:positionV>
              <wp:extent cx="1315085" cy="189865"/>
              <wp:effectExtent l="0" t="0" r="0" b="0"/>
              <wp:wrapNone/>
              <wp:docPr id="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0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E6A01" w14:textId="052B540E" w:rsidR="00084AEB" w:rsidRPr="00903D6C" w:rsidRDefault="00000000">
                          <w:pPr>
                            <w:spacing w:before="19"/>
                            <w:ind w:left="20"/>
                            <w:rPr>
                              <w:rFonts w:ascii="Poppins" w:hAnsi="Poppins" w:cs="Poppins"/>
                              <w:b/>
                              <w:sz w:val="20"/>
                            </w:rPr>
                          </w:pPr>
                          <w:r w:rsidRPr="00903D6C">
                            <w:rPr>
                              <w:rFonts w:ascii="Poppins" w:hAnsi="Poppins" w:cs="Poppins"/>
                              <w:sz w:val="20"/>
                            </w:rPr>
                            <w:t>Página</w:t>
                          </w:r>
                          <w:r w:rsidRPr="00903D6C">
                            <w:rPr>
                              <w:rFonts w:ascii="Poppins" w:hAnsi="Poppins" w:cs="Poppins"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903D6C">
                            <w:rPr>
                              <w:rFonts w:ascii="Poppins" w:hAnsi="Poppins" w:cs="Poppins"/>
                            </w:rPr>
                            <w:fldChar w:fldCharType="begin"/>
                          </w:r>
                          <w:r w:rsidRPr="00903D6C">
                            <w:rPr>
                              <w:rFonts w:ascii="Poppins" w:hAnsi="Poppins" w:cs="Poppins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903D6C">
                            <w:rPr>
                              <w:rFonts w:ascii="Poppins" w:hAnsi="Poppins" w:cs="Poppins"/>
                            </w:rPr>
                            <w:fldChar w:fldCharType="separate"/>
                          </w:r>
                          <w:r w:rsidRPr="00903D6C">
                            <w:rPr>
                              <w:rFonts w:ascii="Poppins" w:hAnsi="Poppins" w:cs="Poppins"/>
                            </w:rPr>
                            <w:t>2</w:t>
                          </w:r>
                          <w:r w:rsidRPr="00903D6C">
                            <w:rPr>
                              <w:rFonts w:ascii="Poppins" w:hAnsi="Poppins" w:cs="Poppins"/>
                            </w:rPr>
                            <w:fldChar w:fldCharType="end"/>
                          </w:r>
                          <w:r w:rsidRPr="00903D6C">
                            <w:rPr>
                              <w:rFonts w:ascii="Poppins" w:hAnsi="Poppins" w:cs="Poppins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954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4.05pt;margin-top:800.1pt;width:103.55pt;height:14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" filled="f" stroked="f">
              <v:textbox inset="0,0,0,0">
                <w:txbxContent>
                  <w:p w14:paraId="6B4E6A01" w14:textId="052B540E" w:rsidR="00084AEB" w:rsidRPr="00903D6C" w:rsidRDefault="00000000">
                    <w:pPr>
                      <w:spacing w:before="19"/>
                      <w:ind w:left="20"/>
                      <w:rPr>
                        <w:rFonts w:ascii="Poppins" w:hAnsi="Poppins" w:cs="Poppins"/>
                        <w:b/>
                        <w:sz w:val="20"/>
                      </w:rPr>
                    </w:pPr>
                    <w:r w:rsidRPr="00903D6C">
                      <w:rPr>
                        <w:rFonts w:ascii="Poppins" w:hAnsi="Poppins" w:cs="Poppins"/>
                        <w:sz w:val="20"/>
                      </w:rPr>
                      <w:t>Página</w:t>
                    </w:r>
                    <w:r w:rsidRPr="00903D6C">
                      <w:rPr>
                        <w:rFonts w:ascii="Poppins" w:hAnsi="Poppins" w:cs="Poppins"/>
                        <w:spacing w:val="-2"/>
                        <w:sz w:val="20"/>
                      </w:rPr>
                      <w:t xml:space="preserve"> </w:t>
                    </w:r>
                    <w:r w:rsidRPr="00903D6C">
                      <w:rPr>
                        <w:rFonts w:ascii="Poppins" w:hAnsi="Poppins" w:cs="Poppins"/>
                      </w:rPr>
                      <w:fldChar w:fldCharType="begin"/>
                    </w:r>
                    <w:r w:rsidRPr="00903D6C">
                      <w:rPr>
                        <w:rFonts w:ascii="Poppins" w:hAnsi="Poppins" w:cs="Poppins"/>
                        <w:b/>
                        <w:sz w:val="20"/>
                      </w:rPr>
                      <w:instrText xml:space="preserve"> PAGE </w:instrText>
                    </w:r>
                    <w:r w:rsidRPr="00903D6C">
                      <w:rPr>
                        <w:rFonts w:ascii="Poppins" w:hAnsi="Poppins" w:cs="Poppins"/>
                      </w:rPr>
                      <w:fldChar w:fldCharType="separate"/>
                    </w:r>
                    <w:r w:rsidRPr="00903D6C">
                      <w:rPr>
                        <w:rFonts w:ascii="Poppins" w:hAnsi="Poppins" w:cs="Poppins"/>
                      </w:rPr>
                      <w:t>2</w:t>
                    </w:r>
                    <w:r w:rsidRPr="00903D6C">
                      <w:rPr>
                        <w:rFonts w:ascii="Poppins" w:hAnsi="Poppins" w:cs="Poppins"/>
                      </w:rPr>
                      <w:fldChar w:fldCharType="end"/>
                    </w:r>
                    <w:r w:rsidRPr="00903D6C">
                      <w:rPr>
                        <w:rFonts w:ascii="Poppins" w:hAnsi="Poppins" w:cs="Poppins"/>
                        <w:b/>
                        <w:spacing w:val="-1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C7967" w14:textId="77777777" w:rsidR="00736A28" w:rsidRDefault="00736A28">
      <w:r>
        <w:separator/>
      </w:r>
    </w:p>
  </w:footnote>
  <w:footnote w:type="continuationSeparator" w:id="0">
    <w:p w14:paraId="3D1A8B7C" w14:textId="77777777" w:rsidR="00736A28" w:rsidRDefault="00736A28">
      <w:r>
        <w:continuationSeparator/>
      </w:r>
    </w:p>
  </w:footnote>
  <w:footnote w:id="1">
    <w:p w14:paraId="5EB3497C" w14:textId="77777777" w:rsidR="00FB5A04" w:rsidRPr="00FB5A04" w:rsidRDefault="00FB5A04" w:rsidP="00FB5A04">
      <w:pPr>
        <w:pStyle w:val="FootnoteText"/>
        <w:rPr>
          <w:rFonts w:ascii="Poppins" w:hAnsi="Poppins" w:cs="Poppins"/>
          <w:sz w:val="16"/>
          <w:szCs w:val="16"/>
        </w:rPr>
      </w:pPr>
      <w:r w:rsidRPr="00FB5A04">
        <w:rPr>
          <w:rStyle w:val="FootnoteReference"/>
          <w:rFonts w:ascii="Poppins" w:hAnsi="Poppins" w:cs="Poppins"/>
          <w:sz w:val="16"/>
          <w:szCs w:val="16"/>
        </w:rPr>
        <w:footnoteRef/>
      </w:r>
      <w:r w:rsidRPr="00FB5A04">
        <w:rPr>
          <w:rFonts w:ascii="Poppins" w:hAnsi="Poppins" w:cs="Poppins"/>
          <w:sz w:val="16"/>
          <w:szCs w:val="16"/>
        </w:rPr>
        <w:t xml:space="preserve"> O preço do barril só tem influência no preço doméstico entre quatro a seis meses depois.</w:t>
      </w:r>
    </w:p>
    <w:p w14:paraId="1F16F4CA" w14:textId="77777777" w:rsidR="00FB5A04" w:rsidRPr="00FB5A04" w:rsidRDefault="00FB5A04" w:rsidP="00FB5A04">
      <w:pPr>
        <w:pStyle w:val="FootnoteText"/>
        <w:rPr>
          <w:rFonts w:ascii="Poppins" w:hAnsi="Poppins" w:cs="Poppins"/>
          <w:sz w:val="16"/>
          <w:szCs w:val="16"/>
        </w:rPr>
      </w:pPr>
      <w:r w:rsidRPr="00FB5A04">
        <w:rPr>
          <w:rFonts w:ascii="Poppins" w:hAnsi="Poppins" w:cs="Poppins"/>
          <w:sz w:val="16"/>
          <w:szCs w:val="16"/>
        </w:rPr>
        <w:t xml:space="preserve">O preço do barril nem sempre </w:t>
      </w:r>
      <w:proofErr w:type="spellStart"/>
      <w:r w:rsidRPr="00FB5A04">
        <w:rPr>
          <w:rFonts w:ascii="Poppins" w:hAnsi="Poppins" w:cs="Poppins"/>
          <w:sz w:val="16"/>
          <w:szCs w:val="16"/>
        </w:rPr>
        <w:t>reflecte</w:t>
      </w:r>
      <w:proofErr w:type="spellEnd"/>
      <w:r w:rsidRPr="00FB5A04">
        <w:rPr>
          <w:rFonts w:ascii="Poppins" w:hAnsi="Poppins" w:cs="Poppins"/>
          <w:sz w:val="16"/>
          <w:szCs w:val="16"/>
        </w:rPr>
        <w:t xml:space="preserve"> o preço final dos derivados, uma vez que cada refinaria tem a sua </w:t>
      </w:r>
      <w:proofErr w:type="spellStart"/>
      <w:r w:rsidRPr="00FB5A04">
        <w:rPr>
          <w:rFonts w:ascii="Poppins" w:hAnsi="Poppins" w:cs="Poppins"/>
          <w:sz w:val="16"/>
          <w:szCs w:val="16"/>
        </w:rPr>
        <w:t>propria</w:t>
      </w:r>
      <w:proofErr w:type="spellEnd"/>
      <w:r w:rsidRPr="00FB5A04">
        <w:rPr>
          <w:rFonts w:ascii="Poppins" w:hAnsi="Poppins" w:cs="Poppins"/>
          <w:sz w:val="16"/>
          <w:szCs w:val="16"/>
        </w:rPr>
        <w:t xml:space="preserve"> estrutura de custos.</w:t>
      </w:r>
    </w:p>
    <w:p w14:paraId="0B71EBD6" w14:textId="4EB99B96" w:rsidR="00FB5A04" w:rsidRPr="00FB5A04" w:rsidRDefault="00FB5A04">
      <w:pPr>
        <w:pStyle w:val="FootnoteText"/>
      </w:pPr>
    </w:p>
  </w:footnote>
  <w:footnote w:id="2">
    <w:p w14:paraId="4A042C9E" w14:textId="77777777" w:rsidR="00CB1BB3" w:rsidRPr="009F5D3B" w:rsidRDefault="00CB1BB3" w:rsidP="00CB1BB3">
      <w:pPr>
        <w:pStyle w:val="Heading1"/>
        <w:tabs>
          <w:tab w:val="left" w:pos="347"/>
        </w:tabs>
        <w:spacing w:before="10" w:line="360" w:lineRule="auto"/>
        <w:ind w:right="92" w:hanging="346"/>
        <w:rPr>
          <w:rFonts w:ascii="Poppins" w:hAnsi="Poppins" w:cs="Poppins"/>
          <w:b w:val="0"/>
          <w:bCs w:val="0"/>
          <w:sz w:val="16"/>
          <w:szCs w:val="16"/>
        </w:rPr>
      </w:pPr>
      <w:r w:rsidRPr="009F5D3B">
        <w:rPr>
          <w:rStyle w:val="FootnoteReference"/>
          <w:rFonts w:ascii="Poppins" w:hAnsi="Poppins" w:cs="Poppins"/>
          <w:b w:val="0"/>
          <w:bCs w:val="0"/>
          <w:sz w:val="16"/>
          <w:szCs w:val="16"/>
        </w:rPr>
        <w:footnoteRef/>
      </w:r>
      <w:r w:rsidRPr="009F5D3B">
        <w:rPr>
          <w:rFonts w:ascii="Poppins" w:hAnsi="Poppins" w:cs="Poppins"/>
          <w:b w:val="0"/>
          <w:bCs w:val="0"/>
          <w:sz w:val="16"/>
          <w:szCs w:val="16"/>
        </w:rPr>
        <w:t xml:space="preserve"> Toneladas métricas</w:t>
      </w:r>
    </w:p>
    <w:p w14:paraId="1D3080FE" w14:textId="77777777" w:rsidR="00CB1BB3" w:rsidRPr="009F5D3B" w:rsidRDefault="00CB1BB3" w:rsidP="00CB1BB3">
      <w:pPr>
        <w:pStyle w:val="FootnoteText"/>
        <w:rPr>
          <w:rFonts w:ascii="Poppins" w:hAnsi="Poppins" w:cs="Poppins"/>
          <w:sz w:val="10"/>
          <w:szCs w:val="10"/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C848" w14:textId="510B434A" w:rsidR="00084AEB" w:rsidRDefault="00AC298A">
    <w:pPr>
      <w:pStyle w:val="BodyText"/>
      <w:spacing w:line="14" w:lineRule="auto"/>
      <w:rPr>
        <w:sz w:val="20"/>
      </w:rPr>
    </w:pPr>
    <w:r w:rsidRPr="001277D4">
      <w:rPr>
        <w:rFonts w:ascii="Palatino Linotype" w:hAnsi="Palatino Linotype"/>
        <w:noProof/>
        <w:sz w:val="22"/>
        <w:szCs w:val="22"/>
        <w:lang w:val="en-US"/>
      </w:rPr>
      <w:drawing>
        <wp:anchor distT="0" distB="0" distL="114300" distR="114300" simplePos="0" relativeHeight="251657216" behindDoc="1" locked="0" layoutInCell="1" allowOverlap="1" wp14:anchorId="38215775" wp14:editId="3D57E8AE">
          <wp:simplePos x="0" y="0"/>
          <wp:positionH relativeFrom="column">
            <wp:posOffset>0</wp:posOffset>
          </wp:positionH>
          <wp:positionV relativeFrom="paragraph">
            <wp:posOffset>-139700</wp:posOffset>
          </wp:positionV>
          <wp:extent cx="4337685" cy="598318"/>
          <wp:effectExtent l="0" t="0" r="5715" b="0"/>
          <wp:wrapTight wrapText="bothSides">
            <wp:wrapPolygon edited="0">
              <wp:start x="569" y="0"/>
              <wp:lineTo x="0" y="2064"/>
              <wp:lineTo x="0" y="20637"/>
              <wp:lineTo x="21534" y="20637"/>
              <wp:lineTo x="21534" y="18573"/>
              <wp:lineTo x="5976" y="11006"/>
              <wp:lineTo x="5881" y="0"/>
              <wp:lineTo x="569" y="0"/>
            </wp:wrapPolygon>
          </wp:wrapTight>
          <wp:docPr id="39" name="Picture 39" descr="C:\Users\ARENE\Desktop\Pelouro AET\Logo\A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ARENE\Desktop\Pelouro AET\Logo\AET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685" cy="598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41F"/>
    <w:multiLevelType w:val="hybridMultilevel"/>
    <w:tmpl w:val="66228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816F1"/>
    <w:multiLevelType w:val="hybridMultilevel"/>
    <w:tmpl w:val="BED0D694"/>
    <w:lvl w:ilvl="0" w:tplc="8B0494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6E1A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9240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C16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56FB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8A29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42F9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1A7C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6C6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4374"/>
    <w:multiLevelType w:val="hybridMultilevel"/>
    <w:tmpl w:val="3C7A90C0"/>
    <w:lvl w:ilvl="0" w:tplc="BEA6858C">
      <w:start w:val="1"/>
      <w:numFmt w:val="decimal"/>
      <w:lvlText w:val="%1"/>
      <w:lvlJc w:val="left"/>
      <w:pPr>
        <w:ind w:left="346" w:hanging="228"/>
      </w:pPr>
      <w:rPr>
        <w:rFonts w:ascii="Poppins" w:eastAsia="Cambria" w:hAnsi="Poppins" w:cs="Poppins" w:hint="default"/>
        <w:b/>
        <w:bCs/>
        <w:w w:val="100"/>
        <w:sz w:val="28"/>
        <w:szCs w:val="28"/>
        <w:lang w:val="pt-PT" w:eastAsia="en-US" w:bidi="ar-SA"/>
      </w:rPr>
    </w:lvl>
    <w:lvl w:ilvl="1" w:tplc="F8C2DEDC">
      <w:numFmt w:val="bullet"/>
      <w:lvlText w:val="•"/>
      <w:lvlJc w:val="left"/>
      <w:pPr>
        <w:ind w:left="1264" w:hanging="228"/>
      </w:pPr>
      <w:rPr>
        <w:rFonts w:hint="default"/>
        <w:lang w:val="pt-PT" w:eastAsia="en-US" w:bidi="ar-SA"/>
      </w:rPr>
    </w:lvl>
    <w:lvl w:ilvl="2" w:tplc="577E0C6E">
      <w:numFmt w:val="bullet"/>
      <w:lvlText w:val="•"/>
      <w:lvlJc w:val="left"/>
      <w:pPr>
        <w:ind w:left="2189" w:hanging="228"/>
      </w:pPr>
      <w:rPr>
        <w:rFonts w:hint="default"/>
        <w:lang w:val="pt-PT" w:eastAsia="en-US" w:bidi="ar-SA"/>
      </w:rPr>
    </w:lvl>
    <w:lvl w:ilvl="3" w:tplc="3834ABE2">
      <w:numFmt w:val="bullet"/>
      <w:lvlText w:val="•"/>
      <w:lvlJc w:val="left"/>
      <w:pPr>
        <w:ind w:left="3113" w:hanging="228"/>
      </w:pPr>
      <w:rPr>
        <w:rFonts w:hint="default"/>
        <w:lang w:val="pt-PT" w:eastAsia="en-US" w:bidi="ar-SA"/>
      </w:rPr>
    </w:lvl>
    <w:lvl w:ilvl="4" w:tplc="74C04C32">
      <w:numFmt w:val="bullet"/>
      <w:lvlText w:val="•"/>
      <w:lvlJc w:val="left"/>
      <w:pPr>
        <w:ind w:left="4038" w:hanging="228"/>
      </w:pPr>
      <w:rPr>
        <w:rFonts w:hint="default"/>
        <w:lang w:val="pt-PT" w:eastAsia="en-US" w:bidi="ar-SA"/>
      </w:rPr>
    </w:lvl>
    <w:lvl w:ilvl="5" w:tplc="6E26394A">
      <w:numFmt w:val="bullet"/>
      <w:lvlText w:val="•"/>
      <w:lvlJc w:val="left"/>
      <w:pPr>
        <w:ind w:left="4963" w:hanging="228"/>
      </w:pPr>
      <w:rPr>
        <w:rFonts w:hint="default"/>
        <w:lang w:val="pt-PT" w:eastAsia="en-US" w:bidi="ar-SA"/>
      </w:rPr>
    </w:lvl>
    <w:lvl w:ilvl="6" w:tplc="152A6C52">
      <w:numFmt w:val="bullet"/>
      <w:lvlText w:val="•"/>
      <w:lvlJc w:val="left"/>
      <w:pPr>
        <w:ind w:left="5887" w:hanging="228"/>
      </w:pPr>
      <w:rPr>
        <w:rFonts w:hint="default"/>
        <w:lang w:val="pt-PT" w:eastAsia="en-US" w:bidi="ar-SA"/>
      </w:rPr>
    </w:lvl>
    <w:lvl w:ilvl="7" w:tplc="0908CB24">
      <w:numFmt w:val="bullet"/>
      <w:lvlText w:val="•"/>
      <w:lvlJc w:val="left"/>
      <w:pPr>
        <w:ind w:left="6812" w:hanging="228"/>
      </w:pPr>
      <w:rPr>
        <w:rFonts w:hint="default"/>
        <w:lang w:val="pt-PT" w:eastAsia="en-US" w:bidi="ar-SA"/>
      </w:rPr>
    </w:lvl>
    <w:lvl w:ilvl="8" w:tplc="D548A300">
      <w:numFmt w:val="bullet"/>
      <w:lvlText w:val="•"/>
      <w:lvlJc w:val="left"/>
      <w:pPr>
        <w:ind w:left="7737" w:hanging="228"/>
      </w:pPr>
      <w:rPr>
        <w:rFonts w:hint="default"/>
        <w:lang w:val="pt-PT" w:eastAsia="en-US" w:bidi="ar-SA"/>
      </w:rPr>
    </w:lvl>
  </w:abstractNum>
  <w:abstractNum w:abstractNumId="3" w15:restartNumberingAfterBreak="0">
    <w:nsid w:val="0E7F4FBD"/>
    <w:multiLevelType w:val="hybridMultilevel"/>
    <w:tmpl w:val="89805EF4"/>
    <w:lvl w:ilvl="0" w:tplc="09E29386">
      <w:start w:val="1"/>
      <w:numFmt w:val="decimal"/>
      <w:lvlText w:val="%1"/>
      <w:lvlJc w:val="left"/>
      <w:pPr>
        <w:ind w:left="541" w:hanging="185"/>
      </w:pPr>
      <w:rPr>
        <w:rFonts w:ascii="Cambria" w:eastAsia="Cambria" w:hAnsi="Cambria" w:cs="Cambria" w:hint="default"/>
        <w:w w:val="100"/>
        <w:sz w:val="24"/>
        <w:szCs w:val="24"/>
        <w:lang w:val="pt-PT" w:eastAsia="en-US" w:bidi="ar-SA"/>
      </w:rPr>
    </w:lvl>
    <w:lvl w:ilvl="1" w:tplc="0546AF12">
      <w:numFmt w:val="bullet"/>
      <w:lvlText w:val="•"/>
      <w:lvlJc w:val="left"/>
      <w:pPr>
        <w:ind w:left="1444" w:hanging="185"/>
      </w:pPr>
      <w:rPr>
        <w:rFonts w:hint="default"/>
        <w:lang w:val="pt-PT" w:eastAsia="en-US" w:bidi="ar-SA"/>
      </w:rPr>
    </w:lvl>
    <w:lvl w:ilvl="2" w:tplc="EA682A10">
      <w:numFmt w:val="bullet"/>
      <w:lvlText w:val="•"/>
      <w:lvlJc w:val="left"/>
      <w:pPr>
        <w:ind w:left="2349" w:hanging="185"/>
      </w:pPr>
      <w:rPr>
        <w:rFonts w:hint="default"/>
        <w:lang w:val="pt-PT" w:eastAsia="en-US" w:bidi="ar-SA"/>
      </w:rPr>
    </w:lvl>
    <w:lvl w:ilvl="3" w:tplc="14F44C6E">
      <w:numFmt w:val="bullet"/>
      <w:lvlText w:val="•"/>
      <w:lvlJc w:val="left"/>
      <w:pPr>
        <w:ind w:left="3253" w:hanging="185"/>
      </w:pPr>
      <w:rPr>
        <w:rFonts w:hint="default"/>
        <w:lang w:val="pt-PT" w:eastAsia="en-US" w:bidi="ar-SA"/>
      </w:rPr>
    </w:lvl>
    <w:lvl w:ilvl="4" w:tplc="74463454">
      <w:numFmt w:val="bullet"/>
      <w:lvlText w:val="•"/>
      <w:lvlJc w:val="left"/>
      <w:pPr>
        <w:ind w:left="4158" w:hanging="185"/>
      </w:pPr>
      <w:rPr>
        <w:rFonts w:hint="default"/>
        <w:lang w:val="pt-PT" w:eastAsia="en-US" w:bidi="ar-SA"/>
      </w:rPr>
    </w:lvl>
    <w:lvl w:ilvl="5" w:tplc="D1C611BE">
      <w:numFmt w:val="bullet"/>
      <w:lvlText w:val="•"/>
      <w:lvlJc w:val="left"/>
      <w:pPr>
        <w:ind w:left="5063" w:hanging="185"/>
      </w:pPr>
      <w:rPr>
        <w:rFonts w:hint="default"/>
        <w:lang w:val="pt-PT" w:eastAsia="en-US" w:bidi="ar-SA"/>
      </w:rPr>
    </w:lvl>
    <w:lvl w:ilvl="6" w:tplc="0190571A">
      <w:numFmt w:val="bullet"/>
      <w:lvlText w:val="•"/>
      <w:lvlJc w:val="left"/>
      <w:pPr>
        <w:ind w:left="5967" w:hanging="185"/>
      </w:pPr>
      <w:rPr>
        <w:rFonts w:hint="default"/>
        <w:lang w:val="pt-PT" w:eastAsia="en-US" w:bidi="ar-SA"/>
      </w:rPr>
    </w:lvl>
    <w:lvl w:ilvl="7" w:tplc="F57C46A2">
      <w:numFmt w:val="bullet"/>
      <w:lvlText w:val="•"/>
      <w:lvlJc w:val="left"/>
      <w:pPr>
        <w:ind w:left="6872" w:hanging="185"/>
      </w:pPr>
      <w:rPr>
        <w:rFonts w:hint="default"/>
        <w:lang w:val="pt-PT" w:eastAsia="en-US" w:bidi="ar-SA"/>
      </w:rPr>
    </w:lvl>
    <w:lvl w:ilvl="8" w:tplc="00C04152">
      <w:numFmt w:val="bullet"/>
      <w:lvlText w:val="•"/>
      <w:lvlJc w:val="left"/>
      <w:pPr>
        <w:ind w:left="7777" w:hanging="185"/>
      </w:pPr>
      <w:rPr>
        <w:rFonts w:hint="default"/>
        <w:lang w:val="pt-PT" w:eastAsia="en-US" w:bidi="ar-SA"/>
      </w:rPr>
    </w:lvl>
  </w:abstractNum>
  <w:abstractNum w:abstractNumId="4" w15:restartNumberingAfterBreak="0">
    <w:nsid w:val="0F0E5124"/>
    <w:multiLevelType w:val="hybridMultilevel"/>
    <w:tmpl w:val="19E01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9364F"/>
    <w:multiLevelType w:val="hybridMultilevel"/>
    <w:tmpl w:val="8C5AE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914F7"/>
    <w:multiLevelType w:val="hybridMultilevel"/>
    <w:tmpl w:val="66228E3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D5BBF"/>
    <w:multiLevelType w:val="hybridMultilevel"/>
    <w:tmpl w:val="040EF556"/>
    <w:lvl w:ilvl="0" w:tplc="66544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9850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60AF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D0C7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E4C9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349D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D2C0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32B9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9A87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06BD8"/>
    <w:multiLevelType w:val="hybridMultilevel"/>
    <w:tmpl w:val="A4F83A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F17A4"/>
    <w:multiLevelType w:val="hybridMultilevel"/>
    <w:tmpl w:val="223CE19A"/>
    <w:lvl w:ilvl="0" w:tplc="79E0F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C4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14E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8E8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BC2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562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40B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88C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2C6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83962045">
    <w:abstractNumId w:val="2"/>
  </w:num>
  <w:num w:numId="2" w16cid:durableId="948585055">
    <w:abstractNumId w:val="3"/>
  </w:num>
  <w:num w:numId="3" w16cid:durableId="923490666">
    <w:abstractNumId w:val="1"/>
  </w:num>
  <w:num w:numId="4" w16cid:durableId="989283325">
    <w:abstractNumId w:val="4"/>
  </w:num>
  <w:num w:numId="5" w16cid:durableId="1837457127">
    <w:abstractNumId w:val="9"/>
  </w:num>
  <w:num w:numId="6" w16cid:durableId="717242319">
    <w:abstractNumId w:val="7"/>
  </w:num>
  <w:num w:numId="7" w16cid:durableId="2098669757">
    <w:abstractNumId w:val="5"/>
  </w:num>
  <w:num w:numId="8" w16cid:durableId="1771927031">
    <w:abstractNumId w:val="8"/>
  </w:num>
  <w:num w:numId="9" w16cid:durableId="2029794334">
    <w:abstractNumId w:val="0"/>
  </w:num>
  <w:num w:numId="10" w16cid:durableId="20225122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EB"/>
    <w:rsid w:val="000154CB"/>
    <w:rsid w:val="00084AEB"/>
    <w:rsid w:val="000D4DD0"/>
    <w:rsid w:val="000E27C7"/>
    <w:rsid w:val="002006D9"/>
    <w:rsid w:val="00206B41"/>
    <w:rsid w:val="0030449E"/>
    <w:rsid w:val="0038163C"/>
    <w:rsid w:val="003C4CAA"/>
    <w:rsid w:val="003D627B"/>
    <w:rsid w:val="00437334"/>
    <w:rsid w:val="00571218"/>
    <w:rsid w:val="005A589B"/>
    <w:rsid w:val="005C5A09"/>
    <w:rsid w:val="005E1A5B"/>
    <w:rsid w:val="005E31B4"/>
    <w:rsid w:val="0060656E"/>
    <w:rsid w:val="00613C3E"/>
    <w:rsid w:val="0063298F"/>
    <w:rsid w:val="00716716"/>
    <w:rsid w:val="00736A28"/>
    <w:rsid w:val="00790A04"/>
    <w:rsid w:val="007E0555"/>
    <w:rsid w:val="007F78B4"/>
    <w:rsid w:val="008070BB"/>
    <w:rsid w:val="008108FC"/>
    <w:rsid w:val="008B4A49"/>
    <w:rsid w:val="008B5E8A"/>
    <w:rsid w:val="008B76EC"/>
    <w:rsid w:val="00903D6C"/>
    <w:rsid w:val="009F5D3B"/>
    <w:rsid w:val="00A814FC"/>
    <w:rsid w:val="00AA5D06"/>
    <w:rsid w:val="00AC298A"/>
    <w:rsid w:val="00B3007D"/>
    <w:rsid w:val="00B31AA5"/>
    <w:rsid w:val="00B370EC"/>
    <w:rsid w:val="00B94194"/>
    <w:rsid w:val="00BD3D22"/>
    <w:rsid w:val="00C1192A"/>
    <w:rsid w:val="00C70A2A"/>
    <w:rsid w:val="00CB1BB3"/>
    <w:rsid w:val="00CC0FC9"/>
    <w:rsid w:val="00CC15B2"/>
    <w:rsid w:val="00CC5EDD"/>
    <w:rsid w:val="00D340A2"/>
    <w:rsid w:val="00E91160"/>
    <w:rsid w:val="00E942AB"/>
    <w:rsid w:val="00EA07AD"/>
    <w:rsid w:val="00EA41DE"/>
    <w:rsid w:val="00F82D00"/>
    <w:rsid w:val="00FB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10E6B"/>
  <w15:docId w15:val="{178810C0-C526-46E2-8D5C-ED019E95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Heading1">
    <w:name w:val="heading 1"/>
    <w:basedOn w:val="Normal"/>
    <w:uiPriority w:val="9"/>
    <w:qFormat/>
    <w:pPr>
      <w:ind w:left="346" w:hanging="34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9"/>
      <w:ind w:left="436" w:right="717"/>
      <w:jc w:val="center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spacing w:before="125"/>
      <w:ind w:left="118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9"/>
      <w:ind w:left="541" w:hanging="186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0"/>
      <w:ind w:left="678" w:right="717"/>
      <w:jc w:val="center"/>
    </w:pPr>
    <w:rPr>
      <w:rFonts w:ascii="Trebuchet MS" w:eastAsia="Trebuchet MS" w:hAnsi="Trebuchet MS" w:cs="Trebuchet MS"/>
      <w:b/>
      <w:bCs/>
      <w:sz w:val="80"/>
      <w:szCs w:val="80"/>
    </w:rPr>
  </w:style>
  <w:style w:type="paragraph" w:styleId="ListParagraph">
    <w:name w:val="List Paragraph"/>
    <w:basedOn w:val="Normal"/>
    <w:uiPriority w:val="1"/>
    <w:qFormat/>
    <w:pPr>
      <w:ind w:left="346" w:hanging="18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C29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98A"/>
    <w:rPr>
      <w:rFonts w:ascii="Cambria" w:eastAsia="Cambria" w:hAnsi="Cambria" w:cs="Cambria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AC29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98A"/>
    <w:rPr>
      <w:rFonts w:ascii="Cambria" w:eastAsia="Cambria" w:hAnsi="Cambria" w:cs="Cambria"/>
      <w:lang w:val="pt-PT"/>
    </w:rPr>
  </w:style>
  <w:style w:type="paragraph" w:styleId="NormalWeb">
    <w:name w:val="Normal (Web)"/>
    <w:basedOn w:val="Normal"/>
    <w:uiPriority w:val="99"/>
    <w:semiHidden/>
    <w:unhideWhenUsed/>
    <w:rsid w:val="00BD3D2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5D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5D3B"/>
    <w:rPr>
      <w:rFonts w:ascii="Cambria" w:eastAsia="Cambria" w:hAnsi="Cambria" w:cs="Cambria"/>
      <w:sz w:val="20"/>
      <w:szCs w:val="20"/>
      <w:lang w:val="pt-PT"/>
    </w:rPr>
  </w:style>
  <w:style w:type="character" w:styleId="FootnoteReference">
    <w:name w:val="footnote reference"/>
    <w:basedOn w:val="DefaultParagraphFont"/>
    <w:uiPriority w:val="99"/>
    <w:semiHidden/>
    <w:unhideWhenUsed/>
    <w:rsid w:val="009F5D3B"/>
    <w:rPr>
      <w:vertAlign w:val="superscript"/>
    </w:rPr>
  </w:style>
  <w:style w:type="character" w:customStyle="1" w:styleId="typographybody--5">
    <w:name w:val="typography__body--5"/>
    <w:basedOn w:val="DefaultParagraphFont"/>
    <w:rsid w:val="000E27C7"/>
  </w:style>
  <w:style w:type="character" w:styleId="Hyperlink">
    <w:name w:val="Hyperlink"/>
    <w:basedOn w:val="DefaultParagraphFont"/>
    <w:uiPriority w:val="99"/>
    <w:semiHidden/>
    <w:unhideWhenUsed/>
    <w:rsid w:val="000E27C7"/>
    <w:rPr>
      <w:color w:val="0000FF"/>
      <w:u w:val="single"/>
    </w:rPr>
  </w:style>
  <w:style w:type="character" w:customStyle="1" w:styleId="typographybody--6">
    <w:name w:val="typography__body--6"/>
    <w:basedOn w:val="DefaultParagraphFont"/>
    <w:rsid w:val="000E27C7"/>
  </w:style>
  <w:style w:type="character" w:customStyle="1" w:styleId="posted-on">
    <w:name w:val="posted-on"/>
    <w:basedOn w:val="DefaultParagraphFont"/>
    <w:rsid w:val="000E2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80714">
          <w:marLeft w:val="33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6656">
          <w:marLeft w:val="33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8677">
          <w:marLeft w:val="33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6605">
          <w:marLeft w:val="33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4040">
          <w:marLeft w:val="33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3627">
          <w:marLeft w:val="33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006">
          <w:marLeft w:val="33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517">
          <w:marLeft w:val="33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4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4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924531606">
                      <w:marLeft w:val="-240"/>
                      <w:marRight w:val="-24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0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1300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5E91B-E4F0-47D9-848A-B7F022601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534</Words>
  <Characters>3048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Gildo Chigoi Doc</vt:lpstr>
      <vt:lpstr>    Maputo, 13 de Março de 2023</vt:lpstr>
      <vt:lpstr>Evolução do preço do Brent </vt:lpstr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Gildo Chigoi Doc</dc:title>
  <dc:creator>gchigoi@arene.org.mz</dc:creator>
  <cp:lastModifiedBy>Gildo Chigoi</cp:lastModifiedBy>
  <cp:revision>3</cp:revision>
  <cp:lastPrinted>2023-02-13T16:50:00Z</cp:lastPrinted>
  <dcterms:created xsi:type="dcterms:W3CDTF">2023-04-09T20:37:00Z</dcterms:created>
  <dcterms:modified xsi:type="dcterms:W3CDTF">2023-04-09T20:42:00Z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2023-02-12T00:00:00Z</vt:filetime>
  </property>
</Properties>
</file>